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0" w:lineRule="atLeast"/>
        <w:ind w:right="-71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Договор на размещение нестационарного торгового</w:t>
      </w:r>
    </w:p>
    <w:p>
      <w:pPr>
        <w:spacing w:line="129" w:lineRule="exact"/>
        <w:rPr>
          <w:rFonts w:ascii="Times New Roman" w:eastAsia="Times New Roman" w:hAnsi="Times New Roman"/>
        </w:rPr>
      </w:pPr>
    </w:p>
    <w:p>
      <w:pPr>
        <w:spacing w:line="0" w:lineRule="atLeast"/>
        <w:ind w:right="-71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объекта №____</w:t>
      </w:r>
    </w:p>
    <w:p>
      <w:pPr>
        <w:widowControl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  <w:b/>
        </w:rPr>
      </w:pPr>
    </w:p>
    <w:p>
      <w:pPr>
        <w:widowControl w:val="0"/>
        <w:tabs>
          <w:tab w:val="left" w:pos="8080"/>
        </w:tabs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г.Альметьевск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  <w:b/>
        </w:rPr>
        <w:t>_________ 2019г.</w:t>
      </w:r>
    </w:p>
    <w:p>
      <w:pPr>
        <w:widowControl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</w:rPr>
      </w:pPr>
    </w:p>
    <w:p>
      <w:pPr>
        <w:widowControl w:val="0"/>
        <w:autoSpaceDE w:val="0"/>
        <w:autoSpaceDN w:val="0"/>
        <w:adjustRightInd w:val="0"/>
        <w:ind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Исполнительный комитет Альметьевского муниципального района Республики Татарстан, действующий на основании Устава муниципального образования «Альметьевский муниципальный район Республики Татарстан», учрежденный решением № 17 от 5 декабря 2005 г. ОГРН 1051605067172, выданный Межрайонной инспекцией Федеральной налоговой службы № 16 по РТ 30 декабря 2005 г. ИНН 1644035822, от имени которого выступает Палата земельных и имущественных отношений Альметьевского муниципального района РТ, зарегистрированное 07 февраля 2006 года за ОГРН 1061644004487 Межрайонной инспекцией Федеральной налоговой службы № 16 по РТ, ИНН 1644036551, местонахождение: PT, г. Альметьевск, пр. Тукая, д. 9а, в лице Председателя Пузыревой Ильвиры Гаязовны, действующей по доверенности от 11 января 2017г., удостоверенной Горшуновой Фаридой Рафатовной, нотариусом Альметьевского нотариального округа РТ, зарегистрированной в реестре за № 1 - 81, именуемый в дальнейшем «Арендодатель», с одной стороны, и </w:t>
      </w:r>
    </w:p>
    <w:p>
      <w:pPr>
        <w:pStyle w:val="Default"/>
        <w:ind w:firstLine="700"/>
        <w:jc w:val="both"/>
      </w:pPr>
      <w:r>
        <w:rPr>
          <w:b/>
          <w:bCs/>
        </w:rPr>
        <w:t>__________________________</w:t>
      </w:r>
      <w:r>
        <w:rPr>
          <w:color w:val="auto"/>
        </w:rPr>
        <w:t xml:space="preserve">, именуемый в дальнейшем </w:t>
      </w:r>
      <w:r>
        <w:t>«</w:t>
      </w:r>
      <w:r>
        <w:rPr>
          <w:color w:val="auto"/>
        </w:rPr>
        <w:t xml:space="preserve">Хозяйствующий субъект», с другой стороны, </w:t>
      </w:r>
      <w:r>
        <w:rPr>
          <w:b/>
          <w:color w:val="auto"/>
        </w:rPr>
        <w:t>на основании протокола</w:t>
      </w:r>
      <w:r>
        <w:rPr>
          <w:color w:val="auto"/>
        </w:rPr>
        <w:t xml:space="preserve"> </w:t>
      </w:r>
      <w:r>
        <w:rPr>
          <w:b/>
          <w:color w:val="auto"/>
        </w:rPr>
        <w:t>_________________________________,</w:t>
      </w:r>
      <w:r>
        <w:rPr>
          <w:color w:val="auto"/>
        </w:rPr>
        <w:t xml:space="preserve"> далее совместно</w:t>
      </w:r>
      <w:r>
        <w:t xml:space="preserve"> именуемые "Стороны", заключили настоящий договор о нижеследующем: </w:t>
      </w:r>
    </w:p>
    <w:p>
      <w:pPr>
        <w:pStyle w:val="Default"/>
        <w:ind w:firstLine="700"/>
        <w:jc w:val="both"/>
        <w:rPr>
          <w:sz w:val="23"/>
          <w:szCs w:val="23"/>
        </w:rPr>
      </w:pPr>
    </w:p>
    <w:p>
      <w:pPr>
        <w:pStyle w:val="Default"/>
        <w:jc w:val="center"/>
      </w:pPr>
      <w:r>
        <w:t>1. Предмет договора</w:t>
      </w:r>
    </w:p>
    <w:p>
      <w:pPr>
        <w:pStyle w:val="Default"/>
        <w:jc w:val="both"/>
        <w:rPr>
          <w:b/>
        </w:rPr>
      </w:pPr>
      <w:r>
        <w:t xml:space="preserve">1.1. Уполномоченный орган предоставляет Хозяйствующему субъекту право на размещение нестационарного торгового объекта: </w:t>
      </w:r>
      <w:r>
        <w:rPr>
          <w:b/>
        </w:rPr>
        <w:t xml:space="preserve">павильон ______________ </w:t>
      </w:r>
      <w:r>
        <w:t xml:space="preserve">(далее – Объект), общей площадью </w:t>
      </w:r>
      <w:r>
        <w:rPr>
          <w:b/>
        </w:rPr>
        <w:t>________</w:t>
      </w:r>
      <w:r>
        <w:t xml:space="preserve"> кв.м., по адресному ориентиру в соответствии со схемой размещения нестационарных торговых объектов на территории </w:t>
      </w:r>
      <w:r>
        <w:rPr>
          <w:b/>
        </w:rPr>
        <w:t>г. Альметьевск: _________________________</w:t>
      </w:r>
    </w:p>
    <w:p>
      <w:pPr>
        <w:pStyle w:val="Default"/>
        <w:jc w:val="both"/>
      </w:pPr>
      <w:r>
        <w:t>1.2. Настоящий договор заключен в соответствии со схемой размещения нестационарных торговых объектов на территории г. Альметьевск, утвержденной постановлением Исполнительного комитета г. Альметьевска от 25 октября 2018г. №81, постановления «Об утверждении схемы размещения нестационарных торговых объектов на территории города Альметьевска» от 18 января 2019г. №06.</w:t>
      </w:r>
    </w:p>
    <w:p>
      <w:pPr>
        <w:pStyle w:val="Default"/>
        <w:jc w:val="both"/>
      </w:pPr>
      <w:r>
        <w:t xml:space="preserve">1.3. Срок оплаты и размер на размещение нестационарного торгового объекта, устанавливается согласно разделу 3 настоящего договора. 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За нарушение сроков внесения платы по договору Хозяйствующий субъект выплачивает Уполномоченному органу пени из расчета 0,1% от размера невнесенной суммы за каждый календарный день просрочки. В случае появления просроченной задолженности и начисленных процентов в первую очередь погашаются проценты (пени), затем просроченная задолженность арендных платежей, а остальная сумма платежа обращается в погашение платежа.  </w:t>
      </w:r>
    </w:p>
    <w:p>
      <w:pPr>
        <w:pStyle w:val="Default"/>
        <w:jc w:val="both"/>
        <w:rPr>
          <w:b/>
        </w:rPr>
      </w:pPr>
      <w:r>
        <w:t xml:space="preserve">1.5. Настоящий договор действует: </w:t>
      </w:r>
      <w:r>
        <w:rPr>
          <w:b/>
        </w:rPr>
        <w:t>5 лет</w:t>
      </w:r>
      <w:r>
        <w:t>.</w:t>
      </w:r>
    </w:p>
    <w:p>
      <w:pPr>
        <w:pStyle w:val="Default"/>
        <w:jc w:val="both"/>
        <w:rPr>
          <w:b/>
        </w:rPr>
      </w:pPr>
      <w:r>
        <w:t xml:space="preserve">1.6. Настоящий договор вступает в силу с даты его подписания и действует с </w:t>
      </w:r>
      <w:r>
        <w:rPr>
          <w:b/>
        </w:rPr>
        <w:t>__________ 2019г. по ____________ 2024г.</w:t>
      </w:r>
    </w:p>
    <w:p>
      <w:pPr>
        <w:pStyle w:val="Default"/>
        <w:jc w:val="both"/>
      </w:pPr>
      <w:r>
        <w:t xml:space="preserve">1.7. Право на размещение нестационарного торгового объекта предоставленное Уполномоченным лицом Хозяйствующему субъекту не подлежит переуступке и передаче третьим лицам. </w:t>
      </w:r>
    </w:p>
    <w:p>
      <w:pPr>
        <w:pStyle w:val="Default"/>
        <w:jc w:val="both"/>
      </w:pPr>
    </w:p>
    <w:p>
      <w:pPr>
        <w:pStyle w:val="Default"/>
        <w:jc w:val="center"/>
      </w:pPr>
    </w:p>
    <w:p>
      <w:pPr>
        <w:pStyle w:val="Default"/>
        <w:jc w:val="center"/>
      </w:pPr>
      <w:r>
        <w:t>2. Требования к размещению и внешнему виду нестационарных торговых объектов.</w:t>
      </w:r>
    </w:p>
    <w:p>
      <w:pPr>
        <w:pStyle w:val="Default"/>
        <w:jc w:val="center"/>
      </w:pPr>
    </w:p>
    <w:p>
      <w:pPr>
        <w:pStyle w:val="Default"/>
        <w:jc w:val="both"/>
      </w:pPr>
      <w:r>
        <w:t>2.1. Размещение нестационарных торговых объектов осуществляется в местах, определенных схемой размещения нестационарных торговых объектов на территории города Альметьевска, утвержденной постановлением исполнительного комитета города Альметьевска.</w:t>
      </w:r>
    </w:p>
    <w:p>
      <w:pPr>
        <w:pStyle w:val="Default"/>
        <w:jc w:val="both"/>
      </w:pPr>
      <w:r>
        <w:t xml:space="preserve">2.2. В случае расположения нестационарных торговых объектов в пределах красных линий улиц и дорог их размещение возможно лишь на замощенной (асфальтированной) площадке  в границах </w:t>
      </w:r>
      <w:r>
        <w:lastRenderedPageBreak/>
        <w:t>тротуара и при условии соблюдения свободной ширины прохода по тротуару не менее 1,5 метра от крайнего элемента нестационарного торгового объектадо края проезжей части.</w:t>
      </w:r>
    </w:p>
    <w:p>
      <w:pPr>
        <w:pStyle w:val="Default"/>
        <w:jc w:val="both"/>
      </w:pPr>
      <w:r>
        <w:t>2.3.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и оборудования требуется осуществлять без заезда автомобилей на тротуар.</w:t>
      </w:r>
    </w:p>
    <w:p>
      <w:pPr>
        <w:pStyle w:val="Default"/>
        <w:jc w:val="both"/>
      </w:pPr>
      <w:r>
        <w:t>2.4.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РФ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>
      <w:pPr>
        <w:pStyle w:val="Default"/>
        <w:jc w:val="both"/>
      </w:pPr>
      <w:r>
        <w:t>2.5. Нестационарные торговые объекты должны иметь вывеску с указанием фирменного наименования организации, режима работы, местонахождения, юридического адреса.</w:t>
      </w:r>
    </w:p>
    <w:p>
      <w:pPr>
        <w:pStyle w:val="Default"/>
        <w:jc w:val="both"/>
      </w:pPr>
      <w:r>
        <w:t>2.6. Уборка территории, прилегающей к нестационарному торговому объекту (объекту по оказанию услуг), должна производиться в соответствии с действующими правилами благоустройства и требованиями в сфере санитарно-эпидемиологического благополучия населения. 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ней территории.</w:t>
      </w:r>
    </w:p>
    <w:p>
      <w:pPr>
        <w:pStyle w:val="Default"/>
        <w:jc w:val="both"/>
      </w:pPr>
      <w:r>
        <w:t>2.7. Не допускается выставлять у нестационарных торговых объектов торгово-холодильное оборудование.</w:t>
      </w:r>
    </w:p>
    <w:p>
      <w:pPr>
        <w:pStyle w:val="Default"/>
        <w:jc w:val="both"/>
      </w:pPr>
      <w:r>
        <w:t>2.8. Требование к внешнему виду нестационарного торгового объекта определяются типовыми проектами нестационарных торговых объектов, утвержденными правовым актом испонительного комитета города Альметьевска или согласованными муниципальным бюджетным учреждением «Управление архитектуры и градостроительства Альметьевского муниципального района».</w:t>
      </w:r>
    </w:p>
    <w:p>
      <w:pPr>
        <w:pStyle w:val="Default"/>
        <w:jc w:val="center"/>
      </w:pPr>
    </w:p>
    <w:p>
      <w:pPr>
        <w:pStyle w:val="Default"/>
        <w:jc w:val="center"/>
      </w:pPr>
    </w:p>
    <w:p>
      <w:pPr>
        <w:pStyle w:val="Default"/>
        <w:jc w:val="center"/>
      </w:pPr>
      <w:r>
        <w:t>3. Платежи и расчеты по договору</w:t>
      </w:r>
    </w:p>
    <w:p>
      <w:pPr>
        <w:pStyle w:val="Default"/>
        <w:jc w:val="center"/>
      </w:pPr>
    </w:p>
    <w:p>
      <w:pPr>
        <w:pStyle w:val="Default"/>
        <w:jc w:val="both"/>
      </w:pPr>
      <w:r>
        <w:t>3.1. Размер ежегодной платы по договору на размещение нестационарного торгового объекта, заключаемому по результатам аукциона составляет ____________руб. При этом задаток внесенный Арендатором для участии в аукционе _____________ руб., что подтверждается платежным документом ____________. и засчитывается в счет арендной платы за право на размещение.</w:t>
      </w:r>
    </w:p>
    <w:p>
      <w:pPr>
        <w:pStyle w:val="Default"/>
        <w:jc w:val="both"/>
      </w:pPr>
      <w:r>
        <w:t xml:space="preserve">3.2. Хозяйствующий субъект перечисляет плату по договору за каждый месяц не позднее десятого числа следующего месяца, и уведомляет об этом Арендодателя в течение 3 дней. 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Реквизиты для оплаты:</w:t>
      </w:r>
    </w:p>
    <w:p>
      <w:pPr>
        <w:pStyle w:val="Default"/>
        <w:jc w:val="both"/>
        <w:rPr>
          <w:b/>
          <w:bCs/>
        </w:rPr>
      </w:pPr>
      <w:r>
        <w:rPr>
          <w:b/>
          <w:bCs/>
        </w:rPr>
        <w:t>№ 40101810800000010001 в Отделении НБ-Республика Татарстан, БИК: 049205001, КБК: 95711109045130002120, код ОКТМО: 92608101, получатель УФК МФ РФ по РТ (Палата земельных и имущественных отношений Альметьевского муниципального района РТ), ИНН получателя: 1644036551, КПП получателя: 164401001.</w:t>
      </w:r>
    </w:p>
    <w:p>
      <w:pPr>
        <w:pStyle w:val="Default"/>
        <w:jc w:val="both"/>
      </w:pPr>
    </w:p>
    <w:p>
      <w:pPr>
        <w:pStyle w:val="Default"/>
        <w:jc w:val="center"/>
      </w:pPr>
      <w:r>
        <w:t>4. Права и обязанности Сторон</w:t>
      </w:r>
    </w:p>
    <w:p>
      <w:pPr>
        <w:pStyle w:val="Default"/>
        <w:jc w:val="both"/>
      </w:pPr>
      <w:r>
        <w:t xml:space="preserve">4.1. Уполномоченный орган вправе: </w:t>
      </w:r>
    </w:p>
    <w:p>
      <w:pPr>
        <w:pStyle w:val="Default"/>
        <w:jc w:val="both"/>
      </w:pPr>
      <w:r>
        <w:t xml:space="preserve">4.1.1. Осуществлять контроль за выполнением Хозяйствующим субъектом условий настоящего договора и требований нормативно-правовых актов, регулирующих размещение Объектов на территории г. Альметьевск; </w:t>
      </w:r>
    </w:p>
    <w:p>
      <w:pPr>
        <w:pStyle w:val="Default"/>
        <w:jc w:val="both"/>
      </w:pPr>
      <w:r>
        <w:t xml:space="preserve">4.1.2. В случаях и порядке, которые установлены настоящим договором, нормативно-правовыми актами, регулирующими размещение Объекта и действующим законодательством Российской Федерации, в одностороннем порядке отказаться от исполнения условий настоящего договора; </w:t>
      </w:r>
    </w:p>
    <w:p>
      <w:pPr>
        <w:pStyle w:val="Default"/>
        <w:jc w:val="both"/>
      </w:pPr>
      <w:r>
        <w:t xml:space="preserve">4.2. Уполномоченный орган обязан предоставить Хозяйствующему субъекту право на размещение Объекта в соответствии со схемой размещения нестационарных торговых объектов на территории г. Альметьевск по адресному ориентиру, указанному в пункте 1.1 настоящего договора. Право, </w:t>
      </w:r>
      <w:r>
        <w:lastRenderedPageBreak/>
        <w:t xml:space="preserve">предоставленное Хозяйствующему субъекту по настоящему договору, не может быть предоставлено Уполномоченным органом другим лицам. </w:t>
      </w:r>
    </w:p>
    <w:p>
      <w:pPr>
        <w:pStyle w:val="Default"/>
        <w:jc w:val="both"/>
      </w:pPr>
      <w:r>
        <w:t xml:space="preserve">4.3. Хозяйствующий субъект вправе досрочно отказаться от исполнения условий настоящего договора по основаниям и в порядке, которые предусмотрены настоящим договором, нормативно-правовыми актами, регулирующими размещение Объекта и действующим законодательством Российской Федерации; </w:t>
      </w:r>
    </w:p>
    <w:p>
      <w:pPr>
        <w:pStyle w:val="Default"/>
        <w:jc w:val="both"/>
      </w:pPr>
      <w:r>
        <w:t xml:space="preserve">4.4. Хозяйствующий субъект обязан: </w:t>
      </w:r>
    </w:p>
    <w:p>
      <w:pPr>
        <w:pStyle w:val="Default"/>
        <w:jc w:val="both"/>
      </w:pPr>
      <w:r>
        <w:t>4.4.1. Обеспечить установку Объекта и предъявить в течении десяти рабочих дней к приемке приемочной комиссии в соответствии с типовым или согласованным проектом;</w:t>
      </w:r>
    </w:p>
    <w:p>
      <w:pPr>
        <w:pStyle w:val="Default"/>
        <w:jc w:val="both"/>
      </w:pPr>
      <w:r>
        <w:t>4.4.2. Своевременно и в полном объеме производить оплату по настоящему Договору;</w:t>
      </w:r>
    </w:p>
    <w:p>
      <w:pPr>
        <w:pStyle w:val="Default"/>
        <w:jc w:val="both"/>
      </w:pPr>
      <w:r>
        <w:t xml:space="preserve">4.4.3. Использовать Объект по назначению, указанному в пункте 1.1 настоящего Договора; </w:t>
      </w:r>
    </w:p>
    <w:p>
      <w:pPr>
        <w:pStyle w:val="Default"/>
        <w:jc w:val="both"/>
      </w:pPr>
      <w:r>
        <w:t xml:space="preserve">4.4.4. Обеспечить сохранение внешнего вида, типа, местоположения и размеров Объекта в течение установленного периода размещения; </w:t>
      </w:r>
    </w:p>
    <w:p>
      <w:pPr>
        <w:pStyle w:val="Default"/>
        <w:jc w:val="both"/>
      </w:pPr>
      <w:r>
        <w:t xml:space="preserve">4.4.5. Обеспечить соблюдение санитарных норм и правил, вывоз мусора и иных отходов, образовавшихся в результате использования Объекта, с заключением соответствующих договоров; </w:t>
      </w:r>
    </w:p>
    <w:p>
      <w:pPr>
        <w:pStyle w:val="Default"/>
        <w:jc w:val="both"/>
      </w:pPr>
      <w:r>
        <w:t xml:space="preserve">4.4.6.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 (с изменениями и дополнениями), постановления Правительства Российской Федерации от 15.08.1997 № 1036 "Об утверждении правил оказания услуг общественного питания" (с изменениями и дополнениями), Закона Республики Татарстан от 12.01.2010 № 3-ЗРТ "О соблюдении покоя граждан и тишины в ночное время", санитарных правил "Санитарно-эпидемиологические требования к организациям торговли и обороту в них продовольственного сырья и пищевых продуктов. СП 2.3.6.1066-01" и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СанПиН 2.3.6.1079-01"; </w:t>
      </w:r>
    </w:p>
    <w:p>
      <w:pPr>
        <w:pStyle w:val="Default"/>
        <w:jc w:val="both"/>
      </w:pPr>
      <w:r>
        <w:t xml:space="preserve">4.4.7. Не допускать загрязнения, захламления места размещения Объекта; </w:t>
      </w:r>
    </w:p>
    <w:p>
      <w:pPr>
        <w:pStyle w:val="Default"/>
        <w:jc w:val="both"/>
      </w:pPr>
      <w:r>
        <w:t>4.4.8.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пяти рабочих дней с даты окончания срока действия Договора, а также в случае досрочного отказа в одностороннем порядке от исполнения условий настоящего договора по инициативе Уполномоченного органа в соответствии с разделом 6 настоящего договора.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  <w:jc w:val="center"/>
      </w:pPr>
      <w:r>
        <w:t>5. Ответственность Сторон</w:t>
      </w:r>
    </w:p>
    <w:p>
      <w:pPr>
        <w:pStyle w:val="Default"/>
        <w:jc w:val="both"/>
      </w:pPr>
      <w: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>
      <w:pPr>
        <w:pStyle w:val="Default"/>
        <w:jc w:val="both"/>
      </w:pPr>
      <w:r>
        <w:t xml:space="preserve">5.2. За нарушение сроков внесения платы по договору Хозяйствующий субъект выплачивает Уполномоченному органу пени согласно пункту 1.4. </w:t>
      </w:r>
    </w:p>
    <w:p>
      <w:pPr>
        <w:pStyle w:val="Default"/>
        <w:jc w:val="both"/>
      </w:pPr>
      <w:r>
        <w:t xml:space="preserve">5.3.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 </w:t>
      </w:r>
    </w:p>
    <w:p>
      <w:pPr>
        <w:pStyle w:val="Default"/>
      </w:pPr>
    </w:p>
    <w:p>
      <w:pPr>
        <w:pStyle w:val="Default"/>
        <w:jc w:val="center"/>
      </w:pPr>
    </w:p>
    <w:p>
      <w:pPr>
        <w:pStyle w:val="Default"/>
        <w:jc w:val="center"/>
      </w:pPr>
    </w:p>
    <w:p>
      <w:pPr>
        <w:pStyle w:val="Default"/>
        <w:jc w:val="center"/>
      </w:pPr>
    </w:p>
    <w:p>
      <w:pPr>
        <w:pStyle w:val="Default"/>
        <w:jc w:val="center"/>
      </w:pPr>
      <w:r>
        <w:t>6. Расторжение договора</w:t>
      </w:r>
    </w:p>
    <w:p>
      <w:pPr>
        <w:pStyle w:val="Default"/>
        <w:jc w:val="both"/>
      </w:pPr>
      <w:r>
        <w:t>6.1. Расторжение договора на размещение допускается по соглашению сторон, по решению суда или в связи с односторонним отказом стороны договора на размещение от исполнения договора в соответствии с гражданским законодательством.</w:t>
      </w:r>
    </w:p>
    <w:p>
      <w:pPr>
        <w:pStyle w:val="Default"/>
        <w:jc w:val="both"/>
      </w:pPr>
      <w:r>
        <w:t>6.2. В случае наличия оснований для расторжения договора на размещение, исполнительный комитет направляет хозяйствующему субъекту уведомление о расторжении договора на размещение, в течение трех дней со дня выявления оснований, для расторжения Договора на размещение. Хозяйствующий субъект обязан в течении 30 дней, со дня получения указанного уведомления, освободить земельный участок от принадлежащего ему нестационарного объекта.</w:t>
      </w:r>
    </w:p>
    <w:p>
      <w:pPr>
        <w:pStyle w:val="Default"/>
        <w:jc w:val="both"/>
      </w:pPr>
      <w:r>
        <w:t>6.3. В случае невыполнения хозяйствующим субъектом демонтажа объекта в указанный в уведомлении срок в добровольном порядке, исполнительный комитет города Альметьевска осуществляет принудительный демонтаж в соответствии с порядком, установленным постановлением исполнительного комитета.</w:t>
      </w:r>
    </w:p>
    <w:p>
      <w:pPr>
        <w:pStyle w:val="Default"/>
        <w:jc w:val="both"/>
      </w:pPr>
      <w:r>
        <w:t>6.4. По инициативе исполнительного комитета договор на осуществление торговой деятельности (оказание услуг) в нестационарном торговом объекте может быть расторгнут в одностороннем порядке:</w:t>
      </w:r>
    </w:p>
    <w:p>
      <w:pPr>
        <w:pStyle w:val="Default"/>
        <w:jc w:val="both"/>
      </w:pPr>
      <w:r>
        <w:t>1) неисполнение хозяйствующим субъектом обязательства по соблюдению специализации нестационарного торгового объекта;</w:t>
      </w:r>
    </w:p>
    <w:p>
      <w:pPr>
        <w:pStyle w:val="Default"/>
        <w:jc w:val="both"/>
      </w:pPr>
      <w:r>
        <w:t>2)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двух месяцев подряд;</w:t>
      </w:r>
    </w:p>
    <w:p>
      <w:pPr>
        <w:pStyle w:val="Default"/>
        <w:jc w:val="both"/>
      </w:pPr>
      <w:r>
        <w:t>3) неисполнение хозяйствующим субъектом обязательства по осуществлению в нестационарном торговом объекте торговой деятельности (оказанию услуг) в течение 15 календарных дней подряд;</w:t>
      </w:r>
    </w:p>
    <w:p>
      <w:pPr>
        <w:pStyle w:val="Default"/>
        <w:jc w:val="both"/>
      </w:pPr>
      <w:r>
        <w:t>4) в случае неисполнения хозяйствующим субъектом в течение 30 календарных дней предписания об устранении нарушений условий договора о целевом использовании нестационарного торгового объекта либо нарушения, связанного с превышением площади нестационарного торгового объекта, обозначенной в договоре на размещение нестационарного торгового объекта. При обжаловании указанного предписания основанием для расторжение договора на размещение нестационарного торгового объекта является вступившее в законную силу решение суда об отказе хозяйствующему субъекту в удовлетворении требований о признании такого предписания законным;</w:t>
      </w:r>
    </w:p>
    <w:p>
      <w:pPr>
        <w:pStyle w:val="Default"/>
        <w:jc w:val="both"/>
      </w:pPr>
      <w:r>
        <w:t>5) неисполнение хозяйствующим субъектом запрета на передачу или уступку прав по договору третьим лицам, осуществление третьими лицами торговой и иной деятельности с использованием нестационарного объекта;</w:t>
      </w:r>
    </w:p>
    <w:p>
      <w:pPr>
        <w:pStyle w:val="Default"/>
        <w:jc w:val="both"/>
      </w:pPr>
      <w:r>
        <w:t>6) несоотвтествия местонахождения нестационарного торгового объекта утвержденному месту размещения.</w:t>
      </w:r>
    </w:p>
    <w:p>
      <w:pPr>
        <w:pStyle w:val="Default"/>
        <w:jc w:val="both"/>
      </w:pPr>
      <w:r>
        <w:t>Уведомление о расторжении договора на размещение должно быть направлено хозяйствующему субъекту за 30 календарных дней до предполагаемой даты расторжения. Договор считается расторгнутым с даты, указанной в таком уведомлении, в случае неустранения Хозяйствующим субъектом нарушения в установленный срок.</w:t>
      </w:r>
    </w:p>
    <w:p>
      <w:pPr>
        <w:pStyle w:val="Default"/>
        <w:jc w:val="center"/>
      </w:pPr>
    </w:p>
    <w:p>
      <w:pPr>
        <w:pStyle w:val="Default"/>
        <w:jc w:val="center"/>
      </w:pPr>
      <w:r>
        <w:t>7. Прочие условия</w:t>
      </w:r>
    </w:p>
    <w:p>
      <w:pPr>
        <w:pStyle w:val="Default"/>
        <w:jc w:val="both"/>
      </w:pPr>
      <w:r>
        <w:t xml:space="preserve">7.1.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>
      <w:pPr>
        <w:pStyle w:val="Default"/>
        <w:jc w:val="both"/>
      </w:pPr>
      <w:r>
        <w:t xml:space="preserve">7.2. Договор составлен в двух экземплярах, каждый из которых имеет одинаковую юридическую силу. </w:t>
      </w:r>
    </w:p>
    <w:p>
      <w:pPr>
        <w:pStyle w:val="Default"/>
        <w:jc w:val="both"/>
      </w:pPr>
      <w:r>
        <w:t xml:space="preserve">7.3. Споры по договору разрешаются в Арбитражном суде Республики Татарстан. </w:t>
      </w:r>
    </w:p>
    <w:p>
      <w:pPr>
        <w:pStyle w:val="Default"/>
        <w:jc w:val="both"/>
      </w:pPr>
      <w:r>
        <w:t xml:space="preserve">7.4.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 </w:t>
      </w:r>
    </w:p>
    <w:p>
      <w:pPr>
        <w:pStyle w:val="Default"/>
        <w:jc w:val="center"/>
      </w:pPr>
    </w:p>
    <w:p>
      <w:pPr>
        <w:pStyle w:val="Default"/>
        <w:jc w:val="center"/>
      </w:pPr>
    </w:p>
    <w:p>
      <w:pPr>
        <w:pStyle w:val="Default"/>
        <w:jc w:val="center"/>
      </w:pPr>
      <w:r>
        <w:t>8. Юридический адрес и подписи Сторон</w:t>
      </w:r>
    </w:p>
    <w:p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8"/>
        <w:gridCol w:w="5127"/>
      </w:tblGrid>
      <w:t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Уполномоченный орган: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Хозяйствующий субъект: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комитет Альметьевского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 РТ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423450, РТ, г. Альметьевск, ул. Ленина, д.39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Палаты,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действующая по доверенности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 И. Г. Пузырёва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5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5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525"/>
              <w:rPr>
                <w:rFonts w:ascii="Times New Roman" w:hAnsi="Times New Roman"/>
              </w:rPr>
            </w:pPr>
          </w:p>
        </w:tc>
      </w:tr>
    </w:tbl>
    <w:p>
      <w:pPr>
        <w:pStyle w:val="Default"/>
        <w:jc w:val="center"/>
        <w:rPr>
          <w:sz w:val="23"/>
          <w:szCs w:val="23"/>
        </w:rPr>
      </w:pP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sectPr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>
    <w:pPr>
      <w:pStyle w:val="af1"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302"/>
    <w:multiLevelType w:val="hybridMultilevel"/>
    <w:tmpl w:val="9C40A8E4"/>
    <w:lvl w:ilvl="0" w:tplc="1FE4E96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Pr>
      <w:b/>
      <w:bCs/>
    </w:rPr>
  </w:style>
  <w:style w:type="character" w:customStyle="1" w:styleId="70">
    <w:name w:val="Заголовок 7 Знак"/>
    <w:link w:val="7"/>
    <w:uiPriority w:val="9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styleId="a4">
    <w:name w:val="Balloon Text"/>
    <w:basedOn w:val="a"/>
    <w:link w:val="a5"/>
    <w:semiHidden/>
    <w:rPr>
      <w:rFonts w:ascii="Tahoma" w:eastAsia="Times New Roman" w:hAnsi="Tahoma"/>
      <w:sz w:val="16"/>
      <w:szCs w:val="16"/>
      <w:lang w:val="en-GB"/>
    </w:rPr>
  </w:style>
  <w:style w:type="character" w:customStyle="1" w:styleId="a5">
    <w:name w:val="Текст выноски Знак"/>
    <w:link w:val="a4"/>
    <w:semiHidden/>
    <w:rPr>
      <w:rFonts w:ascii="Tahoma" w:eastAsia="Times New Roman" w:hAnsi="Tahoma" w:cs="Times New Roman"/>
      <w:sz w:val="16"/>
      <w:szCs w:val="16"/>
      <w:lang w:val="en-GB" w:eastAsia="ru-RU"/>
    </w:rPr>
  </w:style>
  <w:style w:type="paragraph" w:styleId="a6">
    <w:name w:val="Body Text"/>
    <w:basedOn w:val="a"/>
    <w:link w:val="a7"/>
    <w:pPr>
      <w:spacing w:line="264" w:lineRule="auto"/>
      <w:jc w:val="center"/>
    </w:pPr>
    <w:rPr>
      <w:rFonts w:ascii="SL_Times New Roman" w:eastAsia="Times New Roman" w:hAnsi="SL_Times New Roman"/>
      <w:sz w:val="27"/>
      <w:szCs w:val="20"/>
      <w:lang w:val="be-BY"/>
    </w:rPr>
  </w:style>
  <w:style w:type="character" w:customStyle="1" w:styleId="a7">
    <w:name w:val="Основной текст Знак"/>
    <w:link w:val="a6"/>
    <w:rPr>
      <w:rFonts w:ascii="SL_Times New Roman" w:eastAsia="Times New Roman" w:hAnsi="SL_Times New Roman" w:cs="Times New Roman"/>
      <w:sz w:val="27"/>
      <w:szCs w:val="20"/>
      <w:lang w:val="be-BY" w:eastAsia="ru-RU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0000FF"/>
      <w:u w:val="single"/>
    </w:rPr>
  </w:style>
  <w:style w:type="paragraph" w:customStyle="1" w:styleId="aa">
    <w:name w:val="Знак Знак Знак Знак"/>
    <w:basedOn w:val="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</w:style>
  <w:style w:type="paragraph" w:customStyle="1" w:styleId="12">
    <w:name w:val="Дата1"/>
    <w:basedOn w:val="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3">
    <w:name w:val="Название1"/>
    <w:basedOn w:val="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c">
    <w:name w:val="Emphasis"/>
    <w:uiPriority w:val="20"/>
    <w:qFormat/>
    <w:rPr>
      <w:rFonts w:ascii="Calibri" w:hAnsi="Calibri"/>
      <w:b/>
      <w:i/>
      <w:i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d">
    <w:name w:val="annotation reference"/>
    <w:semiHidden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Pr>
      <w:rFonts w:ascii="Times New Roman" w:hAnsi="Times New Roman"/>
      <w:sz w:val="20"/>
      <w:szCs w:val="20"/>
      <w:lang w:val="en-GB"/>
    </w:rPr>
  </w:style>
  <w:style w:type="character" w:customStyle="1" w:styleId="af">
    <w:name w:val="Текст примечания Знак"/>
    <w:link w:val="ae"/>
    <w:semiHidden/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f0">
    <w:name w:val="Стиль"/>
    <w:basedOn w:val="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2">
    <w:name w:val="Верхний колонтитул Знак"/>
    <w:link w:val="af1"/>
    <w:uiPriority w:val="9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4">
    <w:name w:val="Нижний колонтитул Знак"/>
    <w:link w:val="af3"/>
    <w:uiPriority w:val="9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5">
    <w:name w:val="annotation subject"/>
    <w:basedOn w:val="ae"/>
    <w:next w:val="ae"/>
    <w:link w:val="af6"/>
    <w:uiPriority w:val="99"/>
    <w:semiHidden/>
    <w:unhideWhenUsed/>
    <w:rPr>
      <w:rFonts w:eastAsia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/>
    </w:rPr>
  </w:style>
  <w:style w:type="paragraph" w:styleId="af7">
    <w:name w:val="caption"/>
    <w:basedOn w:val="a"/>
    <w:next w:val="a"/>
    <w:uiPriority w:val="35"/>
    <w:semiHidden/>
    <w:unhideWhenUsed/>
    <w:pPr>
      <w:spacing w:after="200"/>
    </w:pPr>
    <w:rPr>
      <w:i/>
      <w:iCs/>
      <w:color w:val="44546A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b">
    <w:name w:val="Подзаголовок Знак"/>
    <w:link w:val="afa"/>
    <w:uiPriority w:val="11"/>
    <w:rPr>
      <w:rFonts w:ascii="Cambria" w:eastAsia="Times New Roman" w:hAnsi="Cambria"/>
      <w:sz w:val="24"/>
      <w:szCs w:val="24"/>
    </w:rPr>
  </w:style>
  <w:style w:type="character" w:styleId="afc">
    <w:name w:val="Strong"/>
    <w:uiPriority w:val="22"/>
    <w:qFormat/>
    <w:rPr>
      <w:b/>
      <w:bCs/>
    </w:rPr>
  </w:style>
  <w:style w:type="paragraph" w:styleId="afd">
    <w:name w:val="No Spacing"/>
    <w:basedOn w:val="a"/>
    <w:uiPriority w:val="1"/>
    <w:qFormat/>
    <w:rPr>
      <w:szCs w:val="32"/>
    </w:r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link w:val="21"/>
    <w:uiPriority w:val="29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link w:val="afe"/>
    <w:uiPriority w:val="30"/>
    <w:rPr>
      <w:b/>
      <w:i/>
      <w:sz w:val="24"/>
    </w:rPr>
  </w:style>
  <w:style w:type="character" w:styleId="aff0">
    <w:name w:val="Subtle Emphasis"/>
    <w:uiPriority w:val="19"/>
    <w:qFormat/>
    <w:rPr>
      <w:i/>
      <w:color w:val="5A5A5A"/>
    </w:rPr>
  </w:style>
  <w:style w:type="character" w:styleId="aff1">
    <w:name w:val="Intense Emphasis"/>
    <w:uiPriority w:val="21"/>
    <w:qFormat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Pr>
      <w:sz w:val="24"/>
      <w:szCs w:val="24"/>
      <w:u w:val="single"/>
    </w:rPr>
  </w:style>
  <w:style w:type="character" w:styleId="aff3">
    <w:name w:val="Intense Reference"/>
    <w:uiPriority w:val="32"/>
    <w:qFormat/>
    <w:rPr>
      <w:b/>
      <w:sz w:val="24"/>
      <w:u w:val="single"/>
    </w:rPr>
  </w:style>
  <w:style w:type="character" w:styleId="aff4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E2AE0-8071-48F5-B8E4-DAC3D268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14106</CharactersWithSpaces>
  <SharedDoc>false</SharedDoc>
  <HLinks>
    <vt:vector size="54" baseType="variant">
      <vt:variant>
        <vt:i4>6946868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6553659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7471204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consultantplus://offline/ref=EA3D4D4D75278A0EDD9045A9D002E8DD89E35F302E42C701067218A309A2D9444DDCBC27B613D72CADGBK</vt:lpwstr>
      </vt:variant>
      <vt:variant>
        <vt:lpwstr/>
      </vt:variant>
      <vt:variant>
        <vt:i4>2031629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consultantplus://offline/ref=EA3D4D4D75278A0EDD9045A9D002E8DD8EEB5E31254A9A0B0E2B14A10EAD86534A95B026B613D6A2G8K</vt:lpwstr>
      </vt:variant>
      <vt:variant>
        <vt:lpwstr/>
      </vt:variant>
      <vt:variant>
        <vt:i4>7471201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consultantplus://offline/ref=EA3D4D4D75278A0EDD905BA4C66EB5D68BE902352042CF55582D43FE5EABD313A0GAK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consultantplus://offline/ref=EA3D4D4D75278A0EDD9045A9D002E8DD89E15A3B2740C701067218A309AAG2K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consultantplus://offline/ref=EA3D4D4D75278A0EDD9045A9D002E8DD89E1583C2140C701067218A309AAG2K</vt:lpwstr>
      </vt:variant>
      <vt:variant>
        <vt:lpwstr/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</dc:creator>
  <cp:lastModifiedBy>admin</cp:lastModifiedBy>
  <cp:revision>2</cp:revision>
  <cp:lastPrinted>2019-08-05T07:17:00Z</cp:lastPrinted>
  <dcterms:created xsi:type="dcterms:W3CDTF">2019-10-22T07:24:00Z</dcterms:created>
  <dcterms:modified xsi:type="dcterms:W3CDTF">2019-10-22T07:24:00Z</dcterms:modified>
</cp:coreProperties>
</file>