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9"/>
        <w:ind w:left="357" w:right="130"/>
        <w:contextualSpacing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Извещение</w:t>
      </w:r>
    </w:p>
    <w:p>
      <w:pPr>
        <w:spacing w:before="129"/>
        <w:ind w:left="357" w:right="130"/>
        <w:contextualSpacing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 проведении электронного аукциона на право заключения договора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 </w:t>
      </w:r>
      <w:r>
        <w:rPr>
          <w:rFonts w:ascii="Times New Roman" w:eastAsia="Times New Roman" w:hAnsi="Times New Roman"/>
          <w:lang w:val="ru-RU" w:eastAsia="ru-RU" w:bidi="ar-SA"/>
        </w:rPr>
        <w:t>размещение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эксплуатацию рекламных конструкций (в виде двусторонних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еврощитов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размером 3х6м.) на территории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муниципального района</w:t>
      </w:r>
    </w:p>
    <w:p>
      <w:pPr>
        <w:spacing w:before="129"/>
        <w:ind w:left="357" w:right="130"/>
        <w:contextualSpacing/>
        <w:jc w:val="center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«26» августа 2019 г. № 1599, сообщает о том, что </w:t>
      </w:r>
      <w:r>
        <w:rPr>
          <w:rFonts w:ascii="Times New Roman" w:hAnsi="Times New Roman"/>
          <w:b/>
          <w:lang w:val="ru-RU"/>
        </w:rPr>
        <w:t xml:space="preserve"> 14 октября 2019 г. в 10.00 часов</w:t>
      </w:r>
      <w:r>
        <w:rPr>
          <w:rFonts w:ascii="Times New Roman" w:hAnsi="Times New Roman"/>
          <w:lang w:val="ru-RU"/>
        </w:rPr>
        <w:t xml:space="preserve"> проводится </w:t>
      </w:r>
      <w:r>
        <w:rPr>
          <w:rFonts w:ascii="Times New Roman" w:eastAsia="Times New Roman" w:hAnsi="Times New Roman"/>
          <w:lang w:val="ru-RU" w:eastAsia="ru-RU" w:bidi="ar-SA"/>
        </w:rPr>
        <w:t xml:space="preserve">электронный аукцион на право заключения договора на размещение и эксплуатацию рекламных конструкций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</w:t>
      </w:r>
      <w:r>
        <w:rPr>
          <w:rFonts w:ascii="Times New Roman" w:hAnsi="Times New Roman"/>
          <w:lang w:val="ru-RU"/>
        </w:rPr>
        <w:t>:</w:t>
      </w:r>
      <w:proofErr w:type="gramEnd"/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63"/>
        <w:gridCol w:w="1421"/>
        <w:gridCol w:w="3827"/>
        <w:gridCol w:w="2692"/>
        <w:gridCol w:w="1701"/>
        <w:gridCol w:w="1843"/>
        <w:gridCol w:w="2126"/>
      </w:tblGrid>
      <w:tr>
        <w:trPr>
          <w:trHeight w:val="1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№№ лота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Проектный номер</w:t>
            </w:r>
          </w:p>
          <w:p>
            <w:pPr>
              <w:spacing w:line="216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Адрес,</w:t>
            </w:r>
          </w:p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месторасположение</w:t>
            </w:r>
          </w:p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(Республика Татарстан)</w:t>
            </w:r>
          </w:p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  <w:p>
            <w:pPr>
              <w:spacing w:line="216" w:lineRule="auto"/>
              <w:ind w:right="-108" w:hanging="111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Начальная стоимость права за 5 лет,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 xml:space="preserve"> % от  начальной стоимости права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0 % от  начальной стоимости права), руб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.</w:t>
            </w:r>
          </w:p>
        </w:tc>
      </w:tr>
      <w:tr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Еврощит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(рекламный щит), двусторонний, 3х6</w:t>
            </w:r>
          </w:p>
        </w:tc>
      </w:tr>
      <w:tr>
        <w:trPr>
          <w:trHeight w:val="5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К-Л45/002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. Строителей, южнее д.20б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8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х-11/037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Ризы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, 30 м южнее пересечения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Ризы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-Полевой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6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К-Шв1/039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Габдуллы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укая, южнее д.2в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4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К-Шв12/056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Шевченко, южнее д. 82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6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К-Л9/021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 ул. Ленина, севернее д. 123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К-Л37/003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Ленина, южнее д. 122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6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К-Св7/119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Советская, юго-западнее д.186а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К-Гфз8/085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Геофизическая, севернее д.7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54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К-Р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х-13/074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ул. Ри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зы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, западнее д. 27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>
        <w:trPr>
          <w:trHeight w:val="71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К-Гр17/102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ул. Герцена, 30 м восточнее пересечения</w:t>
            </w:r>
          </w:p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ул. Герцена-Сулеймановой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</w:tbl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>
      <w:pPr>
        <w:pStyle w:val="ab"/>
        <w:ind w:left="78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*На день объявления аукциона лоты имеют обременение в виде размещенной опоры рекламной конструкции.</w:t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Организатор аукциона и его адрес: Палата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района. Место нахождения / почтовый адрес – г. Альметьевск, пр. Тукая, 9а, адрес электронной почты – pzio@mail.ru, номер контактного телефона организатора аукциона - тел.: 8(8553) 43-86-87.</w:t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Оператор электронной площадки и его адрес: АО «Агентство по государственному заказу Республики Татарстан».  Место нахождения: 420021, Республика Татарстан, г. Казань, ул. Московская, 55; телефон: 292-95-17, адрес электронной почты: agzrt@tatar.ru.</w:t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shd w:val="clear" w:color="auto" w:fill="FFFFFF"/>
          <w:lang w:val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Место проведения аукциона: аукцион проводится на электронной площадке по адресу sale.zakazrf.ru</w:t>
      </w:r>
      <w:r>
        <w:rPr>
          <w:rFonts w:ascii="Times New Roman" w:eastAsia="Times New Roman" w:hAnsi="Times New Roman"/>
          <w:shd w:val="clear" w:color="auto" w:fill="FFFFFF"/>
          <w:lang w:val="ru-RU" w:bidi="ar-SA"/>
        </w:rPr>
        <w:tab/>
      </w:r>
    </w:p>
    <w:p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bCs/>
          <w:lang w:val="ru-RU" w:bidi="ar-SA"/>
        </w:rPr>
      </w:pPr>
      <w:proofErr w:type="gramStart"/>
      <w:r>
        <w:rPr>
          <w:rFonts w:ascii="Times New Roman" w:eastAsia="Times New Roman" w:hAnsi="Times New Roman"/>
          <w:bCs/>
          <w:lang w:val="ru-RU" w:bidi="ar-SA"/>
        </w:rPr>
        <w:t>Для оформления участия в аукционе заявитель должен подать по вышеуказанному адресу оформленную в соответствии с требованиями</w:t>
      </w:r>
      <w:proofErr w:type="gramEnd"/>
      <w:r>
        <w:rPr>
          <w:rFonts w:ascii="Times New Roman" w:eastAsia="Times New Roman" w:hAnsi="Times New Roman"/>
          <w:bCs/>
          <w:lang w:val="ru-RU" w:bidi="ar-SA"/>
        </w:rPr>
        <w:t xml:space="preserve"> аукционной документации заявку на участие в аукционе с приложением документов, указанных в аукционной документации.</w:t>
      </w:r>
    </w:p>
    <w:p>
      <w:pPr>
        <w:tabs>
          <w:tab w:val="left" w:pos="0"/>
        </w:tabs>
        <w:ind w:firstLine="426"/>
        <w:jc w:val="both"/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Cs w:val="18"/>
          <w:shd w:val="clear" w:color="auto" w:fill="FFFFFF"/>
          <w:lang w:val="ru-RU" w:eastAsia="ru-RU" w:bidi="ar-SA"/>
        </w:rPr>
        <w:t>Победителем аукциона является участник аукциона, который предложил наибольшую цену за право</w:t>
      </w:r>
      <w:r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  <w:t xml:space="preserve"> на заключение договора на </w:t>
      </w:r>
      <w:r>
        <w:rPr>
          <w:rFonts w:ascii="Times New Roman" w:eastAsia="Times New Roman" w:hAnsi="Times New Roman"/>
          <w:lang w:val="ru-RU" w:eastAsia="ru-RU" w:bidi="ar-SA"/>
        </w:rPr>
        <w:t>размещение</w:t>
      </w:r>
      <w:r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  <w:t xml:space="preserve"> и эксплуатацию рекламной конструкции.</w:t>
      </w:r>
    </w:p>
    <w:p>
      <w:pPr>
        <w:tabs>
          <w:tab w:val="left" w:pos="0"/>
        </w:tabs>
        <w:ind w:firstLine="426"/>
        <w:jc w:val="both"/>
        <w:rPr>
          <w:rFonts w:ascii="Times New Roman" w:eastAsia="Times New Roman" w:hAnsi="Times New Roman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Cs/>
          <w:kern w:val="36"/>
          <w:szCs w:val="18"/>
          <w:lang w:val="ru-RU" w:eastAsia="ru-RU" w:bidi="ar-SA"/>
        </w:rPr>
        <w:t>Предметом</w:t>
      </w:r>
      <w:r>
        <w:rPr>
          <w:rFonts w:ascii="Times New Roman" w:eastAsia="Times New Roman" w:hAnsi="Times New Roman"/>
          <w:szCs w:val="1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kern w:val="36"/>
          <w:szCs w:val="18"/>
          <w:lang w:val="ru-RU" w:eastAsia="ru-RU" w:bidi="ar-SA"/>
        </w:rPr>
        <w:t>аукциона</w:t>
      </w:r>
      <w:r>
        <w:rPr>
          <w:rFonts w:ascii="Times New Roman" w:eastAsia="Times New Roman" w:hAnsi="Times New Roman"/>
          <w:szCs w:val="18"/>
          <w:lang w:val="ru-RU" w:eastAsia="ru-RU" w:bidi="ar-SA"/>
        </w:rPr>
        <w:t xml:space="preserve"> является </w:t>
      </w:r>
      <w:r>
        <w:rPr>
          <w:rFonts w:ascii="Times New Roman" w:eastAsia="Times New Roman" w:hAnsi="Times New Roman"/>
          <w:bCs/>
          <w:lang w:val="ru-RU" w:eastAsia="ru-RU" w:bidi="ar-SA"/>
        </w:rPr>
        <w:t>право на заключение договора на размещение и эксплуатацию рекламной конструкции</w:t>
      </w:r>
      <w:r>
        <w:rPr>
          <w:rFonts w:ascii="Times New Roman" w:eastAsia="Times New Roman" w:hAnsi="Times New Roman"/>
          <w:szCs w:val="18"/>
          <w:lang w:val="ru-RU" w:eastAsia="ru-RU" w:bidi="ar-SA"/>
        </w:rPr>
        <w:t>.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Размер обеспечения заявки на участие в аукционе определяется в размере 100 процентов от начальной цены лота.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Дата и время начала приема заявок – 13 сентября 2019г.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Место приема заявок – электронная площадка sale.zakazrf.ru.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окончания приема заявок – 08 октября 2019г.  в 12.00 часов. 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рассмотрения </w:t>
      </w:r>
      <w:proofErr w:type="gramStart"/>
      <w:r>
        <w:rPr>
          <w:rFonts w:ascii="Times New Roman" w:eastAsia="Times New Roman" w:hAnsi="Times New Roman"/>
          <w:b/>
          <w:lang w:val="ru-RU" w:eastAsia="ru-RU" w:bidi="ar-SA"/>
        </w:rPr>
        <w:t>заявок</w:t>
      </w:r>
      <w:proofErr w:type="gramEnd"/>
      <w:r>
        <w:rPr>
          <w:rFonts w:ascii="Times New Roman" w:eastAsia="Times New Roman" w:hAnsi="Times New Roman"/>
          <w:b/>
          <w:lang w:val="ru-RU" w:eastAsia="ru-RU" w:bidi="ar-SA"/>
        </w:rPr>
        <w:t xml:space="preserve"> и признание претендентов участниками аукциона – 11 октября 2019 г.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начала проведения аукциона – 14 октября 2019 г. в 10-00 часов. </w:t>
      </w:r>
    </w:p>
    <w:p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Для подачи заявки на участие в аукционе заявитель должен быть зарегистрирован на электронной площадке (sale.zakazrf.ru). 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Размер платы за участие в аукционе участника, признанного победителем, на счет электронной площадки составляет 1,0% от разницы между максимальной ценой лота, предложенной победителем аукциона, и начальной (минимальной) ценой лота, но не более 60000 рублей, в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т.ч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. НДС 20% (приказ АО «Агентство по государственному заказу Республики Татарстан» от 19.12.2018 №44).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Заявитель вправе подать лишь одну заявку на участие в аукционе в отношении предмета аукциона (лота).</w:t>
      </w:r>
    </w:p>
    <w:p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Проект договора на размещение и эксплуатацию рекламных конструкций представлен в аукционной документации.</w:t>
      </w:r>
    </w:p>
    <w:p>
      <w:pPr>
        <w:tabs>
          <w:tab w:val="left" w:pos="567"/>
        </w:tabs>
        <w:ind w:firstLine="426"/>
        <w:jc w:val="both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Порядок проведения аукциона определяется аукционной документацией.</w:t>
      </w:r>
      <w:r>
        <w:rPr>
          <w:lang w:val="ru-RU"/>
        </w:rPr>
        <w:t xml:space="preserve">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Размер ежемесячной арендной платы за размещение средств наружной рекламы приведен в Аукционной документации и устанавливается в соответствии с «Порядком расчета размера платы за размещение средств наружной рекламы и информации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РТ», утвержденного Решением Совета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РТ» от 06 апреля 2012г. №180.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на размещение и эксплуатацию рекламных конструкций, который заключается в простой письменной форме.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Организатор торгов вправе: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решения об отказе от проведения аукциона в электронной форме;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размещения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При уклонении или отказе победителя аукциона  в электронной форме от заключения договора на размещение и эксплуатацию рекламной конструкции задаток ему не возвращается.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решения об  отказе от проведения аукциона.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Подач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a</w:t>
      </w:r>
      <w:proofErr w:type="spellEnd"/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заявки на участие в аукционе является акцептом оферты в соответствии со ст.438 ГК РФ.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Победителем аукциона в электронной форме  признается участник, предложивший наибольшую стоимость права на заключение договора на размещение и эксплуатацию рекламных конструкций в ходе проведения торгов. НДС подлежит уплате Арендатором (налоговым агентом) в соответствии с пунктом 3 ст.161 Налогового кодекса Российской Федерации.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Организатор аукциона в течение 5 рабочих дней со дня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размещения протокола подведения итогов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на электронной площадке готовит проект договора и направляет его  победителю аукциона.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Победитель аукциона в течение 10 рабочих дней с момента получения проекта договора представляет в уполномоченный орган подписанный договор на установку и эксплуатацию рекламной конструкции, предусмотренной в лоте, на бумажном носителе в двух экземплярах.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заключение договора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(минимальной) цены договора (лота), указанной в извещении о проведен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>кциона.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Заявка на участие в аукционе должна содержать: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1) сведения и документы о заявителе, подавшем такую заявку: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г) копии учредительных документов заявителя (для юридических лиц);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>
        <w:rPr>
          <w:rFonts w:ascii="Times New Roman" w:eastAsia="Times New Roman" w:hAnsi="Times New Roman"/>
          <w:lang w:val="ru-RU" w:eastAsia="ru-RU" w:bidi="ar-SA"/>
        </w:rPr>
        <w:lastRenderedPageBreak/>
        <w:t>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Информация об условиях, ограничивающих либо обременяющих победителя аукциона 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Победитель аукциона самостоятельно  изготавливает приложение к разрешению на установку и эксплуатацию рекламной конструкции и в установленном порядке получает разрешительную документацию;- решает вопрос о подключении рекламной конструкции к электрическим сетям или автономному источнику электропитания для обеспечения подсветки информационных полей в темное время суток; - оформляет ордер на выполнение земляных работ;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Особые условия договора на установку и эксплуатацию рекламной конструкции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района: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Победитель аукциона обязан установить рекламную конструкцию не позднее трех месяцев с момента подписания договора;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вправе расторгнуть договор в одностороннем внесудебном порядке при условии отсутствия задолженности по нему, осуществления демонтажа рекламной конструкции и проведения восстановительных работ на месте ее размещения. 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каб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., тел. 8 (8553) 43-86-87.</w:t>
      </w:r>
    </w:p>
    <w:p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>
      <w:pPr>
        <w:rPr>
          <w:lang w:val="ru-RU"/>
        </w:rPr>
      </w:pPr>
    </w:p>
    <w:sectPr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817"/>
    <w:multiLevelType w:val="hybridMultilevel"/>
    <w:tmpl w:val="B4C81504"/>
    <w:lvl w:ilvl="0" w:tplc="B7746388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3F54"/>
    <w:multiLevelType w:val="hybridMultilevel"/>
    <w:tmpl w:val="3A74F094"/>
    <w:lvl w:ilvl="0" w:tplc="FB127BF0">
      <w:start w:val="17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3AC0-E384-441D-AB59-CF59F08A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2019-06-10T07:34:00Z</cp:lastPrinted>
  <dcterms:created xsi:type="dcterms:W3CDTF">2019-09-10T08:10:00Z</dcterms:created>
  <dcterms:modified xsi:type="dcterms:W3CDTF">2019-09-10T08:12:00Z</dcterms:modified>
</cp:coreProperties>
</file>