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>
      <w:pPr>
        <w:widowControl w:val="0"/>
        <w:autoSpaceDE w:val="0"/>
        <w:autoSpaceDN w:val="0"/>
        <w:adjustRightInd w:val="0"/>
      </w:pPr>
      <w:r>
        <w:rPr>
          <w:b/>
          <w:color w:val="000080"/>
        </w:rPr>
        <w:tab/>
      </w:r>
      <w:r>
        <w:rPr>
          <w:b/>
          <w:color w:val="000080"/>
        </w:rPr>
        <w:tab/>
      </w:r>
      <w:r>
        <w:rPr>
          <w:b/>
          <w:color w:val="000080"/>
        </w:rPr>
        <w:tab/>
      </w:r>
      <w:r>
        <w:rPr>
          <w:b/>
          <w:color w:val="000080"/>
        </w:rPr>
        <w:tab/>
      </w:r>
      <w:r>
        <w:rPr>
          <w:b/>
          <w:color w:val="000080"/>
        </w:rPr>
        <w:tab/>
      </w:r>
      <w:r>
        <w:rPr>
          <w:b/>
          <w:color w:val="000080"/>
        </w:rPr>
        <w:tab/>
      </w:r>
      <w:r>
        <w:rPr>
          <w:b/>
          <w:color w:val="000080"/>
        </w:rPr>
        <w:tab/>
      </w:r>
    </w:p>
    <w:p>
      <w:pPr>
        <w:widowControl w:val="0"/>
        <w:tabs>
          <w:tab w:val="left" w:pos="3450"/>
        </w:tabs>
        <w:autoSpaceDE w:val="0"/>
        <w:autoSpaceDN w:val="0"/>
        <w:adjustRightInd w:val="0"/>
        <w:ind w:left="5664"/>
      </w:pPr>
      <w:r>
        <w:tab/>
      </w:r>
    </w:p>
    <w:p>
      <w:pPr>
        <w:widowControl w:val="0"/>
        <w:autoSpaceDE w:val="0"/>
        <w:autoSpaceDN w:val="0"/>
        <w:adjustRightInd w:val="0"/>
      </w:pPr>
    </w:p>
    <w:p>
      <w:pPr>
        <w:widowControl w:val="0"/>
        <w:autoSpaceDE w:val="0"/>
        <w:autoSpaceDN w:val="0"/>
        <w:adjustRightInd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>
      <w:pPr>
        <w:widowControl w:val="0"/>
        <w:autoSpaceDE w:val="0"/>
        <w:autoSpaceDN w:val="0"/>
        <w:adjustRightInd w:val="0"/>
        <w:rPr>
          <w:b/>
          <w:color w:val="000080"/>
        </w:rPr>
      </w:pPr>
    </w:p>
    <w:p>
      <w:pPr>
        <w:widowControl w:val="0"/>
        <w:autoSpaceDE w:val="0"/>
        <w:autoSpaceDN w:val="0"/>
        <w:adjustRightInd w:val="0"/>
        <w:rPr>
          <w:b/>
          <w:color w:val="000080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ДОКУМЕНТАЦИЯ ОБ ОТКРЫТОМ АУКЦИОНЕ</w:t>
      </w: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продаже права на размещение </w:t>
      </w:r>
      <w:proofErr w:type="gramStart"/>
      <w:r>
        <w:rPr>
          <w:b/>
          <w:sz w:val="28"/>
          <w:szCs w:val="28"/>
        </w:rPr>
        <w:t>сезонных</w:t>
      </w:r>
      <w:proofErr w:type="gramEnd"/>
      <w:r>
        <w:rPr>
          <w:b/>
          <w:sz w:val="28"/>
          <w:szCs w:val="28"/>
        </w:rPr>
        <w:t xml:space="preserve"> нестационарных торговых </w:t>
      </w: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объектов на территории г. Альметьевска</w:t>
      </w: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г. Альметьевск, 2019 г.</w:t>
      </w:r>
    </w:p>
    <w:p>
      <w:pPr>
        <w:widowControl w:val="0"/>
        <w:autoSpaceDE w:val="0"/>
        <w:autoSpaceDN w:val="0"/>
        <w:adjustRightInd w:val="0"/>
        <w:ind w:left="720" w:right="283"/>
        <w:jc w:val="center"/>
        <w:rPr>
          <w:b/>
        </w:rPr>
      </w:pPr>
      <w:r>
        <w:rPr>
          <w:b/>
        </w:rPr>
        <w:lastRenderedPageBreak/>
        <w:t>Введение</w:t>
      </w:r>
    </w:p>
    <w:p>
      <w:pPr>
        <w:widowControl w:val="0"/>
        <w:autoSpaceDE w:val="0"/>
        <w:autoSpaceDN w:val="0"/>
        <w:adjustRightInd w:val="0"/>
        <w:ind w:right="283" w:firstLine="720"/>
        <w:jc w:val="both"/>
      </w:pPr>
    </w:p>
    <w:p>
      <w:pPr>
        <w:widowControl w:val="0"/>
        <w:autoSpaceDE w:val="0"/>
        <w:autoSpaceDN w:val="0"/>
        <w:adjustRightInd w:val="0"/>
        <w:ind w:right="283" w:firstLine="720"/>
        <w:jc w:val="both"/>
      </w:pPr>
      <w:r>
        <w:t>Документация об  аукционе разработана и утверждена организатором  торгов  – Палатой земельных и имущественных отношений Альметьевского муниципального района Республики Татарстан в соответствии с постановлением исполнительного комитета города Альметьевска от 19 декабря 2019 года № 98.</w:t>
      </w:r>
    </w:p>
    <w:p>
      <w:pPr>
        <w:widowControl w:val="0"/>
        <w:autoSpaceDE w:val="0"/>
        <w:autoSpaceDN w:val="0"/>
        <w:adjustRightInd w:val="0"/>
        <w:ind w:right="283" w:firstLine="720"/>
        <w:jc w:val="both"/>
        <w:rPr>
          <w:sz w:val="20"/>
          <w:szCs w:val="20"/>
        </w:rPr>
      </w:pPr>
    </w:p>
    <w:p>
      <w:pPr>
        <w:widowControl w:val="0"/>
        <w:autoSpaceDE w:val="0"/>
        <w:autoSpaceDN w:val="0"/>
        <w:adjustRightInd w:val="0"/>
        <w:ind w:right="283" w:firstLine="720"/>
        <w:jc w:val="center"/>
        <w:rPr>
          <w:b/>
        </w:rPr>
      </w:pPr>
      <w:r>
        <w:rPr>
          <w:b/>
        </w:rPr>
        <w:t>Общие положения</w:t>
      </w:r>
    </w:p>
    <w:p>
      <w:pPr>
        <w:widowControl w:val="0"/>
        <w:autoSpaceDE w:val="0"/>
        <w:autoSpaceDN w:val="0"/>
        <w:adjustRightInd w:val="0"/>
        <w:ind w:right="283" w:firstLine="720"/>
        <w:jc w:val="both"/>
        <w:rPr>
          <w:sz w:val="20"/>
          <w:szCs w:val="20"/>
        </w:rPr>
      </w:pPr>
    </w:p>
    <w:p>
      <w:pPr>
        <w:widowControl w:val="0"/>
        <w:tabs>
          <w:tab w:val="left" w:pos="142"/>
        </w:tabs>
        <w:autoSpaceDE w:val="0"/>
        <w:autoSpaceDN w:val="0"/>
        <w:adjustRightInd w:val="0"/>
        <w:ind w:right="283" w:firstLine="284"/>
        <w:jc w:val="both"/>
      </w:pPr>
      <w:proofErr w:type="gramStart"/>
      <w:r>
        <w:rPr>
          <w:b/>
        </w:rPr>
        <w:t>Сезонный нестационарный торговый объект</w:t>
      </w:r>
      <w:r>
        <w:t xml:space="preserve"> - торговый объект, не относящийся к объектам капитального строительства и не являющийся объектом недвижимости, представляющий собой сооружение или конструкцию, выполненную в соответствии с утвержденными типовыми проектами,  не связанную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 (передвижные средства развозной и разносной уличной торговли</w:t>
      </w:r>
      <w:proofErr w:type="gramEnd"/>
      <w:r>
        <w:t xml:space="preserve">, бахчевые развалы и так далее). </w:t>
      </w:r>
    </w:p>
    <w:p>
      <w:pPr>
        <w:widowControl w:val="0"/>
        <w:tabs>
          <w:tab w:val="left" w:pos="142"/>
        </w:tabs>
        <w:autoSpaceDE w:val="0"/>
        <w:autoSpaceDN w:val="0"/>
        <w:adjustRightInd w:val="0"/>
        <w:ind w:right="283" w:firstLine="284"/>
        <w:jc w:val="both"/>
      </w:pPr>
      <w:r>
        <w:t xml:space="preserve">Елочный базар - специально оборудованная временная конструкция, представляющая собой площадку для продажи натуральных хвойных деревьев. </w:t>
      </w:r>
    </w:p>
    <w:p>
      <w:pPr>
        <w:widowControl w:val="0"/>
        <w:tabs>
          <w:tab w:val="left" w:pos="142"/>
        </w:tabs>
        <w:autoSpaceDE w:val="0"/>
        <w:autoSpaceDN w:val="0"/>
        <w:adjustRightInd w:val="0"/>
        <w:ind w:right="283" w:firstLine="284"/>
        <w:jc w:val="both"/>
      </w:pPr>
      <w:r>
        <w:rPr>
          <w:u w:val="single"/>
        </w:rPr>
        <w:t>Места размещения</w:t>
      </w:r>
      <w:r>
        <w:t xml:space="preserve"> сезонных нестационарных торговых объектов на территории                               </w:t>
      </w:r>
      <w:proofErr w:type="spellStart"/>
      <w:r>
        <w:t>г</w:t>
      </w:r>
      <w:proofErr w:type="gramStart"/>
      <w:r>
        <w:t>.А</w:t>
      </w:r>
      <w:proofErr w:type="gramEnd"/>
      <w:r>
        <w:t>льметьевска</w:t>
      </w:r>
      <w:proofErr w:type="spellEnd"/>
      <w:r>
        <w:t xml:space="preserve"> определены </w:t>
      </w:r>
      <w:r>
        <w:rPr>
          <w:u w:val="single"/>
        </w:rPr>
        <w:t>схемой размещения</w:t>
      </w:r>
      <w:r>
        <w:t>, утвержденной постановлением исполнительного комитета города Альметьевска.</w:t>
      </w:r>
    </w:p>
    <w:p>
      <w:pPr>
        <w:widowControl w:val="0"/>
        <w:tabs>
          <w:tab w:val="left" w:pos="140"/>
        </w:tabs>
        <w:autoSpaceDE w:val="0"/>
        <w:autoSpaceDN w:val="0"/>
        <w:adjustRightInd w:val="0"/>
        <w:ind w:right="283" w:firstLine="284"/>
        <w:jc w:val="both"/>
      </w:pPr>
      <w:r>
        <w:t xml:space="preserve">Аукцион по продаже прав на размещение сезонных нестационарных торговых объектов является открытым по составу участников и форме подачи предложений о цене (далее </w:t>
      </w:r>
      <w:proofErr w:type="gramStart"/>
      <w:r>
        <w:t>-а</w:t>
      </w:r>
      <w:proofErr w:type="gramEnd"/>
      <w:r>
        <w:t>укцион).</w:t>
      </w:r>
    </w:p>
    <w:p>
      <w:pPr>
        <w:tabs>
          <w:tab w:val="left" w:pos="142"/>
        </w:tabs>
        <w:ind w:right="283" w:firstLine="284"/>
        <w:jc w:val="both"/>
      </w:pPr>
      <w:r>
        <w:t xml:space="preserve">Предмет аукциона (далее - лот) - право на размещение сезонного нестационарного торгового объекта на весь период размещения. </w:t>
      </w:r>
    </w:p>
    <w:p>
      <w:pPr>
        <w:tabs>
          <w:tab w:val="left" w:pos="142"/>
        </w:tabs>
        <w:ind w:right="283" w:firstLine="284"/>
        <w:jc w:val="both"/>
      </w:pPr>
      <w:r>
        <w:t>Вид размещаемого объекта – сезонный нестационарный торговый объект.</w:t>
      </w:r>
    </w:p>
    <w:p>
      <w:pPr>
        <w:tabs>
          <w:tab w:val="left" w:pos="142"/>
        </w:tabs>
        <w:autoSpaceDE w:val="0"/>
        <w:autoSpaceDN w:val="0"/>
        <w:adjustRightInd w:val="0"/>
        <w:ind w:right="283" w:firstLine="284"/>
        <w:jc w:val="both"/>
      </w:pPr>
      <w:r>
        <w:t xml:space="preserve">Уполномоченный орган, организатор аукциона - Палата земельных и имущественных отношений Альметьевского муниципального района Республики Татарстан. </w:t>
      </w:r>
      <w:r>
        <w:rPr>
          <w:spacing w:val="4"/>
        </w:rPr>
        <w:t>Место нахождения</w:t>
      </w:r>
      <w:r>
        <w:t>: 423450,РТ,г</w:t>
      </w:r>
      <w:proofErr w:type="gramStart"/>
      <w:r>
        <w:t>.А</w:t>
      </w:r>
      <w:proofErr w:type="gramEnd"/>
      <w:r>
        <w:t xml:space="preserve">льметьевск, пр.Тукая,д.9А, 1-ый этаж, каб.102, телефон: 43-86-87. </w:t>
      </w:r>
    </w:p>
    <w:p>
      <w:pPr>
        <w:pStyle w:val="formattexttopleveltext"/>
        <w:spacing w:before="0" w:beforeAutospacing="0" w:after="0" w:afterAutospacing="0"/>
        <w:ind w:right="283" w:firstLine="284"/>
        <w:jc w:val="both"/>
      </w:pPr>
      <w:r>
        <w:t>Претендент - юридическое или физическое лицо, зарегистрированное в качестве индивидуального предпринимателя, занимающееся торговой деятельностью выразившее волеизъявление на участие в аукционе и заключение договора.</w:t>
      </w:r>
    </w:p>
    <w:p>
      <w:pPr>
        <w:pStyle w:val="formattexttopleveltext"/>
        <w:spacing w:before="0" w:beforeAutospacing="0" w:after="0" w:afterAutospacing="0"/>
        <w:ind w:right="283" w:firstLine="284"/>
        <w:jc w:val="both"/>
      </w:pPr>
      <w:r>
        <w:t>Участник аукциона - лицо, допущенное Организатором аукциона для участия в аукционе.</w:t>
      </w:r>
    </w:p>
    <w:p>
      <w:pPr>
        <w:pStyle w:val="formattexttopleveltext"/>
        <w:spacing w:before="0" w:beforeAutospacing="0" w:after="0" w:afterAutospacing="0"/>
        <w:ind w:right="283" w:firstLine="284"/>
        <w:jc w:val="both"/>
      </w:pPr>
      <w:r>
        <w:t>Победитель аукциона - лицо, в ходе аукциона предложившее наивысший размер стоимости права на размещение сезонного нестационарного торгового объекта.</w:t>
      </w:r>
    </w:p>
    <w:p>
      <w:pPr>
        <w:pStyle w:val="formattexttopleveltext"/>
        <w:spacing w:before="0" w:beforeAutospacing="0" w:after="0" w:afterAutospacing="0"/>
        <w:ind w:right="283" w:firstLine="284"/>
        <w:jc w:val="both"/>
      </w:pPr>
      <w:r>
        <w:t>Протокол аукциона - протокол, подписываемый членами Комиссии, содержащий сведения о признании участника аукциона победителем и о результатах аукциона.</w:t>
      </w:r>
    </w:p>
    <w:p>
      <w:pPr>
        <w:pStyle w:val="formattexttopleveltext"/>
        <w:spacing w:before="0" w:beforeAutospacing="0" w:after="0" w:afterAutospacing="0"/>
        <w:ind w:right="283" w:firstLine="284"/>
        <w:jc w:val="both"/>
      </w:pPr>
      <w:r>
        <w:t>Договор – договор  на размещение сезонного нестационарного торгового объекта, заключенный Уполномоченным органом и победителем аукциона.</w:t>
      </w:r>
    </w:p>
    <w:p>
      <w:pPr>
        <w:pStyle w:val="formattexttopleveltext"/>
        <w:spacing w:before="0" w:beforeAutospacing="0" w:after="0" w:afterAutospacing="0"/>
        <w:ind w:right="283" w:firstLine="284"/>
        <w:jc w:val="both"/>
      </w:pPr>
      <w:r>
        <w:t xml:space="preserve">Официальный сайт - сайт </w:t>
      </w:r>
      <w:proofErr w:type="spellStart"/>
      <w:r>
        <w:t>Альметьевского</w:t>
      </w:r>
      <w:proofErr w:type="spellEnd"/>
      <w:r>
        <w:t xml:space="preserve"> муниципального района </w:t>
      </w:r>
      <w:hyperlink r:id="rId9" w:history="1">
        <w:r>
          <w:rPr>
            <w:rStyle w:val="af5"/>
            <w:lang w:val="en-US"/>
          </w:rPr>
          <w:t>www</w:t>
        </w:r>
        <w:r>
          <w:rPr>
            <w:rStyle w:val="af5"/>
          </w:rPr>
          <w:t>.</w:t>
        </w:r>
        <w:proofErr w:type="spellStart"/>
        <w:r>
          <w:rPr>
            <w:rStyle w:val="af5"/>
            <w:lang w:val="en-US"/>
          </w:rPr>
          <w:t>almetyevsk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  <w:lang w:val="en-US"/>
          </w:rPr>
          <w:t>tatar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  <w:lang w:val="en-US"/>
          </w:rPr>
          <w:t>ru</w:t>
        </w:r>
        <w:proofErr w:type="spellEnd"/>
      </w:hyperlink>
      <w:r>
        <w:t>.</w:t>
      </w:r>
    </w:p>
    <w:p>
      <w:pPr>
        <w:tabs>
          <w:tab w:val="left" w:pos="142"/>
        </w:tabs>
        <w:autoSpaceDE w:val="0"/>
        <w:autoSpaceDN w:val="0"/>
        <w:adjustRightInd w:val="0"/>
        <w:ind w:right="283" w:firstLine="284"/>
        <w:jc w:val="both"/>
        <w:rPr>
          <w:spacing w:val="4"/>
        </w:rPr>
      </w:pPr>
      <w:r>
        <w:rPr>
          <w:b/>
          <w:spacing w:val="4"/>
        </w:rPr>
        <w:t>Срок принятия решения о внесении изменений в аукционную документацию</w:t>
      </w:r>
      <w:r>
        <w:rPr>
          <w:spacing w:val="4"/>
        </w:rPr>
        <w:t xml:space="preserve"> - </w:t>
      </w:r>
      <w:r>
        <w:t>не позднее, чем за пять дней до даты окончания приема заявок</w:t>
      </w:r>
      <w:r>
        <w:rPr>
          <w:spacing w:val="4"/>
        </w:rPr>
        <w:t>.</w:t>
      </w:r>
    </w:p>
    <w:p>
      <w:pPr>
        <w:tabs>
          <w:tab w:val="left" w:pos="142"/>
        </w:tabs>
        <w:ind w:right="283" w:firstLine="284"/>
        <w:jc w:val="both"/>
      </w:pPr>
      <w:r>
        <w:rPr>
          <w:b/>
          <w:spacing w:val="4"/>
        </w:rPr>
        <w:t>Срок принятия решения об отказе от проведения аукциона</w:t>
      </w:r>
      <w:r>
        <w:rPr>
          <w:spacing w:val="4"/>
        </w:rPr>
        <w:t xml:space="preserve"> - </w:t>
      </w:r>
      <w:r>
        <w:t>не позднее, чем за пять дней до даты окончания приема заявок</w:t>
      </w:r>
      <w:r>
        <w:rPr>
          <w:spacing w:val="4"/>
        </w:rPr>
        <w:t xml:space="preserve">. Извещение об отказе от проведения аукциона размещается </w:t>
      </w:r>
      <w:r>
        <w:t xml:space="preserve">на </w:t>
      </w:r>
      <w:r>
        <w:rPr>
          <w:rFonts w:eastAsia="Arial Unicode MS"/>
        </w:rPr>
        <w:t xml:space="preserve"> сайте Альметьевского муниципального района, публикуется в газете «Альметьевский вестник».</w:t>
      </w:r>
    </w:p>
    <w:p>
      <w:pPr>
        <w:pStyle w:val="formattexttopleveltext"/>
        <w:spacing w:before="0" w:beforeAutospacing="0" w:after="0" w:afterAutospacing="0"/>
        <w:ind w:right="283" w:firstLine="28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Настоящая аукционная документация размещена на официальном сайте </w:t>
      </w:r>
      <w:proofErr w:type="spellStart"/>
      <w:r>
        <w:rPr>
          <w:rFonts w:eastAsiaTheme="minorHAnsi"/>
          <w:lang w:eastAsia="en-US"/>
        </w:rPr>
        <w:t>Альметьевского</w:t>
      </w:r>
      <w:proofErr w:type="spellEnd"/>
      <w:r>
        <w:rPr>
          <w:rFonts w:eastAsiaTheme="minorHAnsi"/>
          <w:lang w:eastAsia="en-US"/>
        </w:rPr>
        <w:t xml:space="preserve"> муниципального района </w:t>
      </w:r>
      <w:hyperlink r:id="rId10" w:history="1">
        <w:r>
          <w:rPr>
            <w:rStyle w:val="af5"/>
            <w:lang w:val="en-US"/>
          </w:rPr>
          <w:t>www</w:t>
        </w:r>
        <w:r>
          <w:rPr>
            <w:rStyle w:val="af5"/>
          </w:rPr>
          <w:t>.</w:t>
        </w:r>
        <w:proofErr w:type="spellStart"/>
        <w:r>
          <w:rPr>
            <w:rStyle w:val="af5"/>
            <w:lang w:val="en-US"/>
          </w:rPr>
          <w:t>almetyevsk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  <w:lang w:val="en-US"/>
          </w:rPr>
          <w:t>tatar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  <w:u w:val="none"/>
            <w:lang w:val="en-US"/>
          </w:rPr>
          <w:t>ru</w:t>
        </w:r>
        <w:proofErr w:type="spellEnd"/>
      </w:hyperlink>
      <w:r>
        <w:rPr>
          <w:rStyle w:val="af5"/>
          <w:u w:val="none"/>
        </w:rPr>
        <w:t xml:space="preserve"> </w:t>
      </w:r>
      <w:r>
        <w:rPr>
          <w:rStyle w:val="af5"/>
          <w:color w:val="auto"/>
          <w:u w:val="none"/>
        </w:rPr>
        <w:t>во вкладке «О предстоящих аукционах и конкурсах». А</w:t>
      </w:r>
      <w:r>
        <w:rPr>
          <w:rFonts w:eastAsiaTheme="minorHAnsi"/>
          <w:lang w:eastAsia="en-US"/>
        </w:rPr>
        <w:t>укционная документация на бумажном носителе предоставляется на всем протяжении приема заявок организатором торгов по письменному заявлению. Плата за предоставление аукционной документации не взымается.</w:t>
      </w:r>
    </w:p>
    <w:p>
      <w:pPr>
        <w:pStyle w:val="formattexttopleveltext"/>
        <w:spacing w:before="0" w:beforeAutospacing="0" w:after="0" w:afterAutospacing="0"/>
        <w:ind w:right="283" w:firstLine="284"/>
        <w:jc w:val="both"/>
      </w:pPr>
      <w:r>
        <w:rPr>
          <w:b/>
        </w:rPr>
        <w:lastRenderedPageBreak/>
        <w:t xml:space="preserve">Порядок и срок отзыва заявок – </w:t>
      </w:r>
      <w:r>
        <w:t>претендент вправе в любое время не позднее дня проведения аукциона отозвать поданную им заявку, направив  письменное уведомление в адрес Организатора торгов.</w:t>
      </w:r>
    </w:p>
    <w:p>
      <w:pPr>
        <w:pStyle w:val="formattexttopleveltext"/>
        <w:spacing w:before="0" w:beforeAutospacing="0" w:after="0" w:afterAutospacing="0"/>
        <w:ind w:right="283" w:firstLine="284"/>
        <w:jc w:val="both"/>
      </w:pPr>
      <w:r>
        <w:t>Проведение аукциона осуществляется постоянно действующей аукционной комиссией по организации и проведению торгов (далее - Комиссия), состав которой утвержден постановлением исполнительного комитета района. Комиссия правомочна осуществлять свои функции, если на заседании Комиссии присутствует не менее 50 процентов от общего числа ее членов.</w:t>
      </w:r>
    </w:p>
    <w:p>
      <w:pPr>
        <w:tabs>
          <w:tab w:val="left" w:pos="142"/>
        </w:tabs>
        <w:spacing w:line="228" w:lineRule="auto"/>
        <w:ind w:firstLine="284"/>
        <w:jc w:val="both"/>
        <w:rPr>
          <w:rFonts w:eastAsiaTheme="minorEastAsia"/>
          <w:b/>
          <w:spacing w:val="4"/>
          <w:lang w:eastAsia="en-US" w:bidi="en-US"/>
        </w:rPr>
      </w:pPr>
      <w:r>
        <w:rPr>
          <w:rFonts w:eastAsiaTheme="minorEastAsia"/>
          <w:b/>
          <w:spacing w:val="4"/>
          <w:lang w:eastAsia="en-US" w:bidi="en-US"/>
        </w:rPr>
        <w:t>Дата и время начала приема заявок – 15 ноября 2019 года с 08.00.</w:t>
      </w:r>
    </w:p>
    <w:p>
      <w:pPr>
        <w:tabs>
          <w:tab w:val="left" w:pos="142"/>
        </w:tabs>
        <w:spacing w:line="228" w:lineRule="auto"/>
        <w:ind w:firstLine="284"/>
        <w:jc w:val="both"/>
        <w:rPr>
          <w:rFonts w:eastAsiaTheme="minorEastAsia"/>
          <w:lang w:eastAsia="en-US" w:bidi="en-US"/>
        </w:rPr>
      </w:pPr>
      <w:r>
        <w:rPr>
          <w:rFonts w:eastAsiaTheme="minorEastAsia"/>
          <w:b/>
          <w:spacing w:val="4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 xml:space="preserve">Заявки и прилагаемые к нему документы принимаются на бумажном носителе. </w:t>
      </w:r>
      <w:r>
        <w:rPr>
          <w:rFonts w:eastAsiaTheme="minorEastAsia"/>
          <w:b/>
          <w:spacing w:val="4"/>
          <w:lang w:eastAsia="en-US" w:bidi="en-US"/>
        </w:rPr>
        <w:t xml:space="preserve">Место приема заявок – </w:t>
      </w:r>
      <w:r>
        <w:rPr>
          <w:rFonts w:eastAsiaTheme="minorEastAsia"/>
          <w:lang w:eastAsia="en-US" w:bidi="en-US"/>
        </w:rPr>
        <w:t xml:space="preserve">РТ, </w:t>
      </w:r>
      <w:proofErr w:type="spellStart"/>
      <w:r>
        <w:rPr>
          <w:rFonts w:eastAsiaTheme="minorEastAsia"/>
          <w:lang w:eastAsia="en-US" w:bidi="en-US"/>
        </w:rPr>
        <w:t>г</w:t>
      </w:r>
      <w:proofErr w:type="gramStart"/>
      <w:r>
        <w:rPr>
          <w:rFonts w:eastAsiaTheme="minorEastAsia"/>
          <w:lang w:eastAsia="en-US" w:bidi="en-US"/>
        </w:rPr>
        <w:t>.А</w:t>
      </w:r>
      <w:proofErr w:type="gramEnd"/>
      <w:r>
        <w:rPr>
          <w:rFonts w:eastAsiaTheme="minorEastAsia"/>
          <w:lang w:eastAsia="en-US" w:bidi="en-US"/>
        </w:rPr>
        <w:t>льметьевск</w:t>
      </w:r>
      <w:proofErr w:type="spellEnd"/>
      <w:r>
        <w:rPr>
          <w:rFonts w:eastAsiaTheme="minorEastAsia"/>
          <w:lang w:eastAsia="en-US" w:bidi="en-US"/>
        </w:rPr>
        <w:t xml:space="preserve">, пр.Тукая,д.9А, 1 этаж,102 кабинет  телефон: 43-86-87. </w:t>
      </w:r>
    </w:p>
    <w:p>
      <w:pPr>
        <w:tabs>
          <w:tab w:val="left" w:pos="142"/>
        </w:tabs>
        <w:spacing w:line="228" w:lineRule="auto"/>
        <w:ind w:firstLine="284"/>
        <w:jc w:val="both"/>
        <w:rPr>
          <w:rFonts w:eastAsiaTheme="minorEastAsia"/>
          <w:b/>
          <w:spacing w:val="4"/>
          <w:lang w:eastAsia="en-US" w:bidi="en-US"/>
        </w:rPr>
      </w:pPr>
      <w:r>
        <w:rPr>
          <w:rFonts w:eastAsiaTheme="minorEastAsia"/>
          <w:b/>
          <w:spacing w:val="4"/>
          <w:lang w:eastAsia="en-US" w:bidi="en-US"/>
        </w:rPr>
        <w:t xml:space="preserve">Дата и время окончания приема заявок – 11 декабря 2019 года до 17.15 часов. </w:t>
      </w:r>
    </w:p>
    <w:p>
      <w:pPr>
        <w:tabs>
          <w:tab w:val="left" w:pos="142"/>
        </w:tabs>
        <w:ind w:firstLine="284"/>
        <w:jc w:val="both"/>
        <w:rPr>
          <w:rFonts w:eastAsiaTheme="minorEastAsia"/>
          <w:b/>
          <w:spacing w:val="4"/>
          <w:lang w:eastAsia="en-US" w:bidi="en-US"/>
        </w:rPr>
      </w:pPr>
      <w:r>
        <w:rPr>
          <w:rFonts w:eastAsiaTheme="minorEastAsia"/>
          <w:b/>
          <w:spacing w:val="4"/>
          <w:lang w:eastAsia="en-US" w:bidi="en-US"/>
        </w:rPr>
        <w:t xml:space="preserve">Прием заявок проводится кроме субботы, воскресенья и праздничных дней. </w:t>
      </w:r>
    </w:p>
    <w:p>
      <w:pPr>
        <w:tabs>
          <w:tab w:val="left" w:pos="142"/>
        </w:tabs>
        <w:spacing w:line="228" w:lineRule="auto"/>
        <w:ind w:firstLine="284"/>
        <w:jc w:val="both"/>
        <w:rPr>
          <w:rFonts w:eastAsiaTheme="minorEastAsia"/>
          <w:b/>
          <w:spacing w:val="4"/>
          <w:lang w:eastAsia="en-US" w:bidi="en-US"/>
        </w:rPr>
      </w:pPr>
      <w:r>
        <w:rPr>
          <w:rFonts w:eastAsiaTheme="minorEastAsia"/>
          <w:b/>
          <w:spacing w:val="4"/>
          <w:lang w:eastAsia="en-US" w:bidi="en-US"/>
        </w:rPr>
        <w:t xml:space="preserve">Дата и время рассмотрения </w:t>
      </w:r>
      <w:proofErr w:type="gramStart"/>
      <w:r>
        <w:rPr>
          <w:rFonts w:eastAsiaTheme="minorEastAsia"/>
          <w:b/>
          <w:spacing w:val="4"/>
          <w:lang w:eastAsia="en-US" w:bidi="en-US"/>
        </w:rPr>
        <w:t>заявок</w:t>
      </w:r>
      <w:proofErr w:type="gramEnd"/>
      <w:r>
        <w:rPr>
          <w:rFonts w:eastAsiaTheme="minorEastAsia"/>
          <w:b/>
          <w:spacing w:val="4"/>
          <w:lang w:eastAsia="en-US" w:bidi="en-US"/>
        </w:rPr>
        <w:t xml:space="preserve"> и признание претендентов участниками аукциона – 13 декабря 2019 года.</w:t>
      </w:r>
    </w:p>
    <w:p>
      <w:pPr>
        <w:tabs>
          <w:tab w:val="left" w:pos="142"/>
        </w:tabs>
        <w:spacing w:line="228" w:lineRule="auto"/>
        <w:ind w:firstLine="284"/>
        <w:jc w:val="both"/>
        <w:rPr>
          <w:rFonts w:eastAsiaTheme="minorEastAsia"/>
          <w:b/>
          <w:spacing w:val="4"/>
          <w:lang w:eastAsia="en-US" w:bidi="en-US"/>
        </w:rPr>
      </w:pPr>
      <w:r>
        <w:rPr>
          <w:rFonts w:eastAsiaTheme="minorEastAsia"/>
          <w:b/>
          <w:spacing w:val="4"/>
          <w:lang w:eastAsia="en-US" w:bidi="en-US"/>
        </w:rPr>
        <w:t>Место рассмотрения заявок</w:t>
      </w:r>
      <w:r>
        <w:rPr>
          <w:rFonts w:eastAsiaTheme="minorEastAsia"/>
          <w:spacing w:val="4"/>
          <w:lang w:eastAsia="en-US" w:bidi="en-US"/>
        </w:rPr>
        <w:t xml:space="preserve">– РТ, </w:t>
      </w:r>
      <w:proofErr w:type="spellStart"/>
      <w:r>
        <w:rPr>
          <w:rFonts w:eastAsiaTheme="minorEastAsia"/>
          <w:lang w:eastAsia="en-US" w:bidi="en-US"/>
        </w:rPr>
        <w:t>г</w:t>
      </w:r>
      <w:proofErr w:type="gramStart"/>
      <w:r>
        <w:rPr>
          <w:rFonts w:eastAsiaTheme="minorEastAsia"/>
          <w:lang w:eastAsia="en-US" w:bidi="en-US"/>
        </w:rPr>
        <w:t>.А</w:t>
      </w:r>
      <w:proofErr w:type="gramEnd"/>
      <w:r>
        <w:rPr>
          <w:rFonts w:eastAsiaTheme="minorEastAsia"/>
          <w:lang w:eastAsia="en-US" w:bidi="en-US"/>
        </w:rPr>
        <w:t>льметьевск</w:t>
      </w:r>
      <w:proofErr w:type="spellEnd"/>
      <w:r>
        <w:rPr>
          <w:rFonts w:eastAsiaTheme="minorEastAsia"/>
          <w:lang w:eastAsia="en-US" w:bidi="en-US"/>
        </w:rPr>
        <w:t xml:space="preserve">, </w:t>
      </w:r>
      <w:proofErr w:type="spellStart"/>
      <w:r>
        <w:rPr>
          <w:rFonts w:eastAsiaTheme="minorEastAsia"/>
          <w:lang w:eastAsia="en-US" w:bidi="en-US"/>
        </w:rPr>
        <w:t>ул.Ленина</w:t>
      </w:r>
      <w:proofErr w:type="spellEnd"/>
      <w:r>
        <w:rPr>
          <w:rFonts w:eastAsiaTheme="minorEastAsia"/>
          <w:lang w:eastAsia="en-US" w:bidi="en-US"/>
        </w:rPr>
        <w:t>, 39.</w:t>
      </w:r>
    </w:p>
    <w:p>
      <w:pPr>
        <w:widowControl w:val="0"/>
        <w:tabs>
          <w:tab w:val="left" w:pos="142"/>
        </w:tabs>
        <w:snapToGrid w:val="0"/>
        <w:spacing w:line="228" w:lineRule="auto"/>
        <w:ind w:firstLine="284"/>
        <w:jc w:val="both"/>
        <w:rPr>
          <w:rFonts w:eastAsiaTheme="minorEastAsia"/>
          <w:b/>
          <w:spacing w:val="4"/>
          <w:lang w:eastAsia="en-US" w:bidi="en-US"/>
        </w:rPr>
      </w:pPr>
      <w:r>
        <w:rPr>
          <w:rFonts w:eastAsiaTheme="minorEastAsia"/>
          <w:b/>
          <w:spacing w:val="4"/>
          <w:lang w:eastAsia="en-US" w:bidi="en-US"/>
        </w:rPr>
        <w:t xml:space="preserve">Дата и время начала проведения аукциона – </w:t>
      </w:r>
      <w:r>
        <w:rPr>
          <w:rFonts w:eastAsiaTheme="minorEastAsia"/>
          <w:b/>
          <w:lang w:eastAsia="en-US" w:bidi="en-US"/>
        </w:rPr>
        <w:t>16 декабря 2019 г. в 14.00 часов.</w:t>
      </w:r>
    </w:p>
    <w:p>
      <w:pPr>
        <w:pStyle w:val="aff1"/>
        <w:tabs>
          <w:tab w:val="left" w:pos="851"/>
          <w:tab w:val="left" w:pos="1080"/>
        </w:tabs>
        <w:ind w:right="-2" w:firstLine="284"/>
        <w:jc w:val="both"/>
        <w:rPr>
          <w:rFonts w:ascii="Times New Roman" w:hAnsi="Times New Roman"/>
          <w:sz w:val="24"/>
          <w:szCs w:val="24"/>
        </w:rPr>
      </w:pPr>
    </w:p>
    <w:p>
      <w:pPr>
        <w:pStyle w:val="aff1"/>
        <w:tabs>
          <w:tab w:val="left" w:pos="851"/>
          <w:tab w:val="left" w:pos="1080"/>
        </w:tabs>
        <w:ind w:right="-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 договора купли-продажи  права на размещение сезонного нестационарного торгового объекта приложен к настоящей аукционной документации. О</w:t>
      </w:r>
      <w:r>
        <w:rPr>
          <w:rFonts w:ascii="Times New Roman" w:hAnsi="Times New Roman"/>
          <w:spacing w:val="4"/>
          <w:sz w:val="24"/>
          <w:szCs w:val="24"/>
        </w:rPr>
        <w:t>смотр мест размещения сезонных нестационарных торговых объектов на местности производится претендентами в любое время самостоятельно согласно до</w:t>
      </w:r>
      <w:r>
        <w:rPr>
          <w:rFonts w:ascii="Times New Roman" w:eastAsia="MS Mincho" w:hAnsi="Times New Roman"/>
          <w:sz w:val="24"/>
          <w:szCs w:val="24"/>
        </w:rPr>
        <w:t>кументации по выставленным объектам.</w:t>
      </w: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</w:pPr>
    </w:p>
    <w:p>
      <w:pPr>
        <w:autoSpaceDE w:val="0"/>
        <w:autoSpaceDN w:val="0"/>
        <w:adjustRightInd w:val="0"/>
        <w:ind w:right="283" w:firstLine="284"/>
        <w:jc w:val="both"/>
        <w:rPr>
          <w:b/>
        </w:rPr>
        <w:sectPr>
          <w:headerReference w:type="first" r:id="rId11"/>
          <w:pgSz w:w="11909" w:h="16834"/>
          <w:pgMar w:top="568" w:right="569" w:bottom="1135" w:left="1134" w:header="720" w:footer="720" w:gutter="0"/>
          <w:cols w:space="60"/>
          <w:noEndnote/>
          <w:titlePg/>
        </w:sectPr>
      </w:pPr>
    </w:p>
    <w:p>
      <w:pPr>
        <w:pStyle w:val="afe"/>
        <w:tabs>
          <w:tab w:val="left" w:pos="140"/>
        </w:tabs>
        <w:spacing w:after="0"/>
        <w:ind w:left="140" w:firstLine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Место расположения, технические характеристики, </w:t>
      </w:r>
      <w:r>
        <w:rPr>
          <w:rFonts w:ascii="Times New Roman" w:hAnsi="Times New Roman" w:cs="Times New Roman"/>
          <w:b/>
          <w:sz w:val="24"/>
          <w:szCs w:val="24"/>
        </w:rPr>
        <w:t xml:space="preserve">начальная стоимость права, шаг аукциона, а также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срок, на который заключается договор </w:t>
      </w:r>
      <w:r>
        <w:rPr>
          <w:rFonts w:ascii="Times New Roman" w:hAnsi="Times New Roman" w:cs="Times New Roman"/>
          <w:b/>
          <w:sz w:val="24"/>
          <w:szCs w:val="24"/>
        </w:rPr>
        <w:t xml:space="preserve">купли-продажи права на размещение сезонного нестационарного торгового объекта </w:t>
      </w:r>
    </w:p>
    <w:p>
      <w:pPr>
        <w:pStyle w:val="afe"/>
        <w:tabs>
          <w:tab w:val="left" w:pos="140"/>
        </w:tabs>
        <w:spacing w:after="0"/>
        <w:ind w:left="140" w:firstLine="2"/>
        <w:rPr>
          <w:rFonts w:ascii="Times New Roman" w:hAnsi="Times New Roman" w:cs="Times New Roman"/>
          <w:b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ind w:left="-142"/>
        <w:jc w:val="both"/>
      </w:pPr>
      <w:r>
        <w:t xml:space="preserve"> </w:t>
      </w:r>
    </w:p>
    <w:tbl>
      <w:tblPr>
        <w:tblW w:w="4941" w:type="pct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15"/>
        <w:gridCol w:w="565"/>
        <w:gridCol w:w="1987"/>
        <w:gridCol w:w="1845"/>
        <w:gridCol w:w="3396"/>
        <w:gridCol w:w="2266"/>
        <w:gridCol w:w="1419"/>
        <w:gridCol w:w="1274"/>
        <w:gridCol w:w="1842"/>
      </w:tblGrid>
      <w:tr>
        <w:trPr>
          <w:trHeight w:val="1633"/>
        </w:trPr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</w:tabs>
              <w:spacing w:line="216" w:lineRule="auto"/>
              <w:ind w:left="-108" w:right="-106"/>
              <w:jc w:val="center"/>
            </w:pPr>
            <w:r>
              <w:t>№          №</w:t>
            </w:r>
          </w:p>
          <w:p>
            <w:pPr>
              <w:tabs>
                <w:tab w:val="left" w:pos="459"/>
              </w:tabs>
              <w:spacing w:line="216" w:lineRule="auto"/>
              <w:ind w:left="-391" w:right="-106" w:firstLine="283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spacing w:line="216" w:lineRule="auto"/>
              <w:ind w:left="-108" w:right="-108"/>
              <w:jc w:val="center"/>
            </w:pPr>
            <w:r>
              <w:t>№№ лота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spacing w:line="216" w:lineRule="auto"/>
              <w:ind w:left="-86" w:right="33"/>
              <w:jc w:val="center"/>
            </w:pPr>
            <w:r>
              <w:t>Вид торговой деятельности</w:t>
            </w:r>
          </w:p>
          <w:p>
            <w:pPr>
              <w:spacing w:line="216" w:lineRule="auto"/>
              <w:ind w:right="-108"/>
              <w:jc w:val="center"/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spacing w:line="216" w:lineRule="auto"/>
              <w:jc w:val="center"/>
            </w:pPr>
            <w:r>
              <w:t xml:space="preserve">Площадь сезонного нестационарного торгового объекта,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spacing w:line="216" w:lineRule="auto"/>
              <w:jc w:val="center"/>
            </w:pPr>
            <w:r>
              <w:t>Адрес месторасположения</w:t>
            </w:r>
          </w:p>
          <w:p>
            <w:pPr>
              <w:spacing w:line="216" w:lineRule="auto"/>
              <w:jc w:val="center"/>
            </w:pPr>
            <w:r>
              <w:t>(Республика Татарстан)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spacing w:line="216" w:lineRule="auto"/>
              <w:ind w:right="-108"/>
              <w:jc w:val="center"/>
            </w:pPr>
            <w:r>
              <w:t>Срок, на который заключается договор купли-продажи права на размещение сезонного нестационарного торгового объекта</w:t>
            </w:r>
          </w:p>
          <w:p>
            <w:pPr>
              <w:spacing w:line="216" w:lineRule="auto"/>
              <w:ind w:right="-108"/>
              <w:jc w:val="center"/>
            </w:pPr>
            <w:r>
              <w:t>(дней)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spacing w:line="216" w:lineRule="auto"/>
              <w:jc w:val="center"/>
            </w:pPr>
            <w:r>
              <w:t>Начальная стоимость права, руб.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-112"/>
              </w:tabs>
              <w:spacing w:line="216" w:lineRule="auto"/>
              <w:ind w:left="-112" w:right="-109"/>
              <w:jc w:val="center"/>
            </w:pPr>
            <w:r>
              <w:t>Шаг</w:t>
            </w:r>
          </w:p>
          <w:p>
            <w:pPr>
              <w:tabs>
                <w:tab w:val="left" w:pos="-112"/>
                <w:tab w:val="left" w:pos="0"/>
              </w:tabs>
              <w:spacing w:line="216" w:lineRule="auto"/>
              <w:ind w:left="-112" w:right="-109"/>
              <w:jc w:val="center"/>
            </w:pPr>
            <w:r>
              <w:t>аукциона</w:t>
            </w:r>
          </w:p>
          <w:p>
            <w:pPr>
              <w:tabs>
                <w:tab w:val="left" w:pos="-112"/>
                <w:tab w:val="left" w:pos="0"/>
              </w:tabs>
              <w:spacing w:line="216" w:lineRule="auto"/>
              <w:ind w:left="-112" w:right="-109"/>
              <w:jc w:val="center"/>
            </w:pPr>
            <w:r>
              <w:rPr>
                <w:lang w:val="x-none" w:eastAsia="x-none"/>
              </w:rPr>
              <w:t>(5 % от  начальной стоимости права</w:t>
            </w:r>
            <w:r>
              <w:t>, руб.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-52"/>
              </w:tabs>
              <w:spacing w:line="216" w:lineRule="auto"/>
              <w:jc w:val="center"/>
              <w:rPr>
                <w:lang w:eastAsia="x-none"/>
              </w:rPr>
            </w:pPr>
            <w:r>
              <w:rPr>
                <w:lang w:val="x-none" w:eastAsia="x-none"/>
              </w:rPr>
              <w:t>Размер задатка для участия в аукционе</w:t>
            </w:r>
          </w:p>
          <w:p>
            <w:pPr>
              <w:tabs>
                <w:tab w:val="left" w:pos="-52"/>
              </w:tabs>
              <w:spacing w:line="216" w:lineRule="auto"/>
              <w:jc w:val="center"/>
            </w:pPr>
            <w:r>
              <w:rPr>
                <w:lang w:val="x-none" w:eastAsia="x-none"/>
              </w:rPr>
              <w:t>(50 % от  начальной стоимости права), руб</w:t>
            </w:r>
            <w:r>
              <w:rPr>
                <w:lang w:eastAsia="x-none"/>
              </w:rPr>
              <w:t>.</w:t>
            </w:r>
          </w:p>
        </w:tc>
      </w:tr>
      <w:tr>
        <w:trPr>
          <w:trHeight w:val="555"/>
        </w:trPr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Ленина, д.128, с торца магазина «Спортмастер»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767"/>
        </w:trPr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2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ул. Советская, д.147/1,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прилегающая территория магазина «Овощи и фрукты»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194"/>
        </w:trPr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3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  <w:proofErr w:type="spellStart"/>
            <w:r>
              <w:rPr>
                <w:color w:val="000000"/>
              </w:rPr>
              <w:t>мкр</w:t>
            </w:r>
            <w:proofErr w:type="spellEnd"/>
            <w:proofErr w:type="gramStart"/>
            <w:r>
              <w:rPr>
                <w:color w:val="000000"/>
              </w:rPr>
              <w:t>.«</w:t>
            </w:r>
            <w:proofErr w:type="spellStart"/>
            <w:proofErr w:type="gramEnd"/>
            <w:r>
              <w:rPr>
                <w:color w:val="000000"/>
              </w:rPr>
              <w:t>Урсала</w:t>
            </w:r>
            <w:proofErr w:type="spellEnd"/>
            <w:r>
              <w:rPr>
                <w:color w:val="000000"/>
              </w:rPr>
              <w:t xml:space="preserve">»,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Первомайская, д.70, прилегающая территория магазина «</w:t>
            </w:r>
            <w:proofErr w:type="spellStart"/>
            <w:r>
              <w:rPr>
                <w:color w:val="000000"/>
              </w:rPr>
              <w:t>Салям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194"/>
        </w:trPr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4</w:t>
            </w:r>
          </w:p>
        </w:tc>
        <w:tc>
          <w:tcPr>
            <w:tcW w:w="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 Альметьевск, ул</w:t>
            </w:r>
            <w:proofErr w:type="gramStart"/>
            <w:r>
              <w:rPr>
                <w:color w:val="000000"/>
              </w:rPr>
              <w:t>.Т</w:t>
            </w:r>
            <w:proofErr w:type="gramEnd"/>
            <w:r>
              <w:rPr>
                <w:color w:val="000000"/>
              </w:rPr>
              <w:t xml:space="preserve">ельмана,д.43,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прилегающая территория магазина «</w:t>
            </w:r>
            <w:proofErr w:type="spellStart"/>
            <w:r>
              <w:rPr>
                <w:color w:val="000000"/>
              </w:rPr>
              <w:t>Агроплюс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850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5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Советская, д.81А, прилегающая территория с торца дома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847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6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 Альметьевск,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ул. Белоглазова, д.50,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торца магазина «Спутник»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675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7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 Альметьевск,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пр. Строителей, д.35,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торца магазина «Магнит»</w:t>
            </w:r>
          </w:p>
          <w:p>
            <w:pPr>
              <w:jc w:val="center"/>
              <w:rPr>
                <w:color w:val="000000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571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8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ул. Герцена, д.94б,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напротив магазина «Пятерочка»</w:t>
            </w:r>
          </w:p>
          <w:p>
            <w:pPr>
              <w:jc w:val="center"/>
              <w:rPr>
                <w:color w:val="000000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834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9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Нефтяников, д.17а, прилегающая территория магазина «</w:t>
            </w:r>
            <w:proofErr w:type="spellStart"/>
            <w:r>
              <w:rPr>
                <w:color w:val="000000"/>
              </w:rPr>
              <w:t>Черновъ</w:t>
            </w:r>
            <w:proofErr w:type="spellEnd"/>
            <w:r>
              <w:rPr>
                <w:color w:val="000000"/>
              </w:rPr>
              <w:t>»</w:t>
            </w:r>
          </w:p>
          <w:p>
            <w:pPr>
              <w:jc w:val="center"/>
              <w:rPr>
                <w:color w:val="000000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847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10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 Альметьевск, ул. Г. Тукая, д.35, прилегающая территория магазина «</w:t>
            </w:r>
            <w:proofErr w:type="spellStart"/>
            <w:r>
              <w:rPr>
                <w:color w:val="000000"/>
              </w:rPr>
              <w:t>Тэмле</w:t>
            </w:r>
            <w:proofErr w:type="spellEnd"/>
            <w:r>
              <w:rPr>
                <w:color w:val="000000"/>
              </w:rPr>
              <w:t>»</w:t>
            </w:r>
          </w:p>
          <w:p>
            <w:pPr>
              <w:jc w:val="center"/>
              <w:rPr>
                <w:color w:val="000000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703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11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ул. М. </w:t>
            </w:r>
            <w:proofErr w:type="spellStart"/>
            <w:r>
              <w:rPr>
                <w:color w:val="000000"/>
              </w:rPr>
              <w:t>Джалиля</w:t>
            </w:r>
            <w:proofErr w:type="spellEnd"/>
            <w:r>
              <w:rPr>
                <w:color w:val="000000"/>
              </w:rPr>
              <w:t>, д.19, прилегающая территория с торца дома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827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12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Чернышевского, д.40б, прилегающая территория магазина «Овощи-фрукты»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555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13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13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 Альметьевск, ул. Объездная, д.37, прилегающая территория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861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14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ул. Р. </w:t>
            </w:r>
            <w:proofErr w:type="spellStart"/>
            <w:r>
              <w:rPr>
                <w:color w:val="000000"/>
              </w:rPr>
              <w:t>Фахретдина</w:t>
            </w:r>
            <w:proofErr w:type="spellEnd"/>
            <w:r>
              <w:rPr>
                <w:color w:val="000000"/>
              </w:rPr>
              <w:t>, д.27, прилегающая территория магазина «</w:t>
            </w:r>
            <w:proofErr w:type="spellStart"/>
            <w:r>
              <w:rPr>
                <w:color w:val="000000"/>
              </w:rPr>
              <w:t>Домо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695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15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  <w:p>
            <w:pPr>
              <w:jc w:val="center"/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Пугачева, д.22б, прилегающая территория магазина «Люкс»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521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16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Ленина, д.95, прилегающая территория с торца дома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  <w:tr>
        <w:trPr>
          <w:trHeight w:val="545"/>
        </w:trPr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17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left" w:pos="459"/>
                <w:tab w:val="center" w:pos="4153"/>
                <w:tab w:val="right" w:pos="8306"/>
              </w:tabs>
              <w:spacing w:line="216" w:lineRule="auto"/>
              <w:ind w:left="-108"/>
              <w:jc w:val="center"/>
            </w:pPr>
            <w:r>
              <w:t>17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Елочный базар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Альметьевск, 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напротив ул. Строителей д.45,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торца дома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t>3 004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1 502</w:t>
            </w:r>
          </w:p>
        </w:tc>
      </w:tr>
    </w:tbl>
    <w:p>
      <w:pPr>
        <w:spacing w:line="228" w:lineRule="auto"/>
        <w:jc w:val="both"/>
        <w:rPr>
          <w:rFonts w:eastAsiaTheme="minorEastAsia"/>
          <w:lang w:eastAsia="en-US" w:bidi="en-US"/>
        </w:rPr>
      </w:pPr>
    </w:p>
    <w:p>
      <w:pPr>
        <w:widowControl w:val="0"/>
        <w:autoSpaceDE w:val="0"/>
        <w:autoSpaceDN w:val="0"/>
        <w:adjustRightInd w:val="0"/>
        <w:ind w:left="-142"/>
        <w:jc w:val="both"/>
        <w:sectPr>
          <w:headerReference w:type="even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4" w:h="11909" w:orient="landscape"/>
          <w:pgMar w:top="709" w:right="709" w:bottom="567" w:left="1134" w:header="720" w:footer="720" w:gutter="0"/>
          <w:cols w:space="60"/>
          <w:noEndnote/>
          <w:titlePg/>
        </w:sectPr>
      </w:pPr>
    </w:p>
    <w:p>
      <w:pPr>
        <w:pStyle w:val="formattexttopleveltext"/>
        <w:spacing w:before="0" w:beforeAutospacing="0" w:after="0" w:afterAutospacing="0"/>
        <w:ind w:firstLine="284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</w:rPr>
        <w:t>Требования к заявителям</w:t>
      </w:r>
    </w:p>
    <w:p>
      <w:pPr>
        <w:pStyle w:val="formattexttopleveltext"/>
        <w:spacing w:before="0" w:beforeAutospacing="0" w:after="0" w:afterAutospacing="0"/>
        <w:ind w:firstLine="567"/>
        <w:jc w:val="center"/>
        <w:rPr>
          <w:b/>
        </w:rPr>
      </w:pPr>
    </w:p>
    <w:p>
      <w:pPr>
        <w:pStyle w:val="formattexttopleveltext"/>
        <w:spacing w:before="0" w:beforeAutospacing="0" w:after="0" w:afterAutospacing="0"/>
        <w:ind w:firstLine="284"/>
        <w:jc w:val="both"/>
      </w:pPr>
      <w:r>
        <w:t>Заявителем - 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физическое лицо, зарегистрированное в качестве индивидуального предпринимателя, занимающееся торговой деятельностью.</w:t>
      </w:r>
    </w:p>
    <w:p>
      <w:pPr>
        <w:pStyle w:val="formattexttopleveltext"/>
        <w:spacing w:before="0" w:beforeAutospacing="0" w:after="0" w:afterAutospacing="0"/>
        <w:ind w:firstLine="284"/>
        <w:jc w:val="both"/>
      </w:pPr>
      <w:r>
        <w:t>Участники аукциона должны соответствовать требованиям, установленным законодательством Российской Федерации к таким участникам, в том числе необходимо:</w:t>
      </w:r>
    </w:p>
    <w:p>
      <w:pPr>
        <w:pStyle w:val="formattexttopleveltext"/>
        <w:spacing w:before="0" w:beforeAutospacing="0" w:after="0" w:afterAutospacing="0"/>
        <w:ind w:firstLine="284"/>
        <w:jc w:val="both"/>
      </w:pPr>
      <w:r>
        <w:t xml:space="preserve">  отсутствие факта ликвидации участника аукциона - юридического лица и отсутствие решений арбитражного суда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>
      <w:pPr>
        <w:pStyle w:val="formattexttopleveltext"/>
        <w:spacing w:before="0" w:beforeAutospacing="0" w:after="0" w:afterAutospacing="0"/>
        <w:ind w:firstLine="284"/>
        <w:jc w:val="both"/>
      </w:pPr>
      <w:r>
        <w:t xml:space="preserve">  отсутствие </w:t>
      </w:r>
      <w:proofErr w:type="gramStart"/>
      <w:r>
        <w:t>факта приостановления деятельности участника аукциона</w:t>
      </w:r>
      <w:proofErr w:type="gramEnd"/>
      <w:r>
        <w:t xml:space="preserve"> в порядке, предусмотренном </w:t>
      </w:r>
      <w:hyperlink r:id="rId17" w:history="1">
        <w:r>
          <w:t>Кодексом Российской Федерации об административных правонарушениях</w:t>
        </w:r>
      </w:hyperlink>
      <w:r>
        <w:t>, на день подачи заявки.</w:t>
      </w:r>
    </w:p>
    <w:p>
      <w:pPr>
        <w:pStyle w:val="formattexttopleveltext"/>
        <w:spacing w:before="0" w:beforeAutospacing="0" w:after="0" w:afterAutospacing="0"/>
        <w:ind w:firstLine="284"/>
        <w:jc w:val="both"/>
      </w:pPr>
      <w:r>
        <w:t>Для участия в аукционе заявители вносят задаток.</w:t>
      </w:r>
    </w:p>
    <w:p>
      <w:pPr>
        <w:ind w:firstLine="284"/>
        <w:jc w:val="both"/>
      </w:pPr>
      <w:r>
        <w:t>Размер задатка для участия в аукционе составляет 50% от начальной стоимости права на размещение сезонного нестационарного торгового объекта и  вносится в течение срока приема заявок на расчетный счет №40302810608025000101, ЛР 079573000-ПЗиИО  в ПАО «АК БАРС» (адрес банка: 420066, Республика Татарстан, г</w:t>
      </w:r>
      <w:proofErr w:type="gramStart"/>
      <w:r>
        <w:t>.К</w:t>
      </w:r>
      <w:proofErr w:type="gramEnd"/>
      <w:r>
        <w:t>азань, ул. Декабристов, д.1)</w:t>
      </w:r>
      <w:proofErr w:type="spellStart"/>
      <w:r>
        <w:t>кор</w:t>
      </w:r>
      <w:proofErr w:type="spellEnd"/>
      <w:r>
        <w:t xml:space="preserve">. счет № 30101810000000000805, БИК 049205805, ИНН 1654019570, КПП 164445001, получатель –  ТОДК МФ РТ   </w:t>
      </w:r>
      <w:proofErr w:type="spellStart"/>
      <w:r>
        <w:t>Альметьевского</w:t>
      </w:r>
      <w:proofErr w:type="spellEnd"/>
      <w:r>
        <w:t xml:space="preserve"> района и </w:t>
      </w:r>
      <w:proofErr w:type="spellStart"/>
      <w:r>
        <w:t>г</w:t>
      </w:r>
      <w:proofErr w:type="gramStart"/>
      <w:r>
        <w:t>.А</w:t>
      </w:r>
      <w:proofErr w:type="gramEnd"/>
      <w:r>
        <w:t>льметьевск</w:t>
      </w:r>
      <w:proofErr w:type="spellEnd"/>
      <w:r>
        <w:t>.  Договор о перечислении задатка заключается с претендентами в установленном законодательством порядке. Поступление задатка должно быть подтверждено выпиской с банковского счета получателя на дату рассмотрения заявок.  Данное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>
      <w:pPr>
        <w:pStyle w:val="aff1"/>
        <w:tabs>
          <w:tab w:val="left" w:pos="851"/>
          <w:tab w:val="left" w:pos="1080"/>
        </w:tabs>
        <w:ind w:right="-2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Победителем аукциона признается участник, предложивший наибольшую стоимость права в ходе проведения торгов. По окончан</w:t>
      </w:r>
      <w:proofErr w:type="gramStart"/>
      <w:r>
        <w:rPr>
          <w:rFonts w:ascii="Times New Roman" w:hAnsi="Times New Roman"/>
          <w:sz w:val="24"/>
          <w:szCs w:val="24"/>
        </w:rPr>
        <w:t>ии ау</w:t>
      </w:r>
      <w:proofErr w:type="gramEnd"/>
      <w:r>
        <w:rPr>
          <w:rFonts w:ascii="Times New Roman" w:hAnsi="Times New Roman"/>
          <w:sz w:val="24"/>
          <w:szCs w:val="24"/>
        </w:rPr>
        <w:t xml:space="preserve">кциона с победителем подписывается протокол о результатах торгов. Договор купли-продажи права на размещение сезонного нестационарного торгового объекта заключается с победителем аукциона в течение 5 рабочих дней </w:t>
      </w:r>
      <w:proofErr w:type="gramStart"/>
      <w:r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>
        <w:rPr>
          <w:rFonts w:ascii="Times New Roman" w:hAnsi="Times New Roman"/>
          <w:sz w:val="24"/>
          <w:szCs w:val="24"/>
        </w:rPr>
        <w:t xml:space="preserve"> протокола о результатах торгов. Оплата приобретаемого на аукционе размера стоимости права на размещение нестационарного торгового объекта производится путем перечисления денежных средств на счет Уполномоченного органа в течение 10 банковских дней </w:t>
      </w:r>
      <w:proofErr w:type="gramStart"/>
      <w:r>
        <w:rPr>
          <w:rFonts w:ascii="Times New Roman" w:hAnsi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договора. Внесенный задаток засчитывается в счет размера стоимости права на размещение сезонного нестационарного торгового объекта. </w:t>
      </w:r>
    </w:p>
    <w:p>
      <w:pPr>
        <w:pStyle w:val="headertexttopleveltextcentertext"/>
        <w:spacing w:before="0" w:beforeAutospacing="0" w:after="0" w:afterAutospacing="0"/>
        <w:jc w:val="center"/>
      </w:pPr>
    </w:p>
    <w:p>
      <w:pPr>
        <w:pStyle w:val="headertexttopleveltextcentertext"/>
        <w:spacing w:before="0" w:beforeAutospacing="0" w:after="0" w:afterAutospacing="0"/>
        <w:jc w:val="center"/>
      </w:pPr>
    </w:p>
    <w:p>
      <w:pPr>
        <w:pStyle w:val="headertexttopleveltextcentertext"/>
        <w:spacing w:before="0" w:beforeAutospacing="0" w:after="0" w:afterAutospacing="0"/>
        <w:jc w:val="center"/>
      </w:pPr>
      <w:r>
        <w:t>Информация</w:t>
      </w:r>
    </w:p>
    <w:p>
      <w:pPr>
        <w:pStyle w:val="headertexttopleveltextcentertext"/>
        <w:spacing w:before="0" w:beforeAutospacing="0" w:after="0" w:afterAutospacing="0"/>
        <w:jc w:val="center"/>
      </w:pPr>
      <w:r>
        <w:t>об организации и проведен</w:t>
      </w:r>
      <w:proofErr w:type="gramStart"/>
      <w:r>
        <w:t>ии ау</w:t>
      </w:r>
      <w:proofErr w:type="gramEnd"/>
      <w:r>
        <w:t xml:space="preserve">кциона по продаже </w:t>
      </w:r>
    </w:p>
    <w:p>
      <w:pPr>
        <w:pStyle w:val="headertexttopleveltextcentertext"/>
        <w:spacing w:before="0" w:beforeAutospacing="0" w:after="0" w:afterAutospacing="0"/>
        <w:jc w:val="center"/>
      </w:pPr>
      <w:r>
        <w:t xml:space="preserve">права на размещение </w:t>
      </w:r>
      <w:proofErr w:type="gramStart"/>
      <w:r>
        <w:t>сезонных</w:t>
      </w:r>
      <w:proofErr w:type="gramEnd"/>
      <w:r>
        <w:t xml:space="preserve"> нестационарных </w:t>
      </w:r>
    </w:p>
    <w:p>
      <w:pPr>
        <w:pStyle w:val="headertexttopleveltextcentertext"/>
        <w:spacing w:before="0" w:beforeAutospacing="0" w:after="0" w:afterAutospacing="0"/>
        <w:jc w:val="center"/>
      </w:pPr>
      <w:r>
        <w:t>торговых объектов на территории г. Альметьевска</w:t>
      </w:r>
    </w:p>
    <w:p>
      <w:pPr>
        <w:pStyle w:val="headertexttopleveltextcentertext"/>
        <w:spacing w:before="0" w:beforeAutospacing="0" w:after="0" w:afterAutospacing="0"/>
        <w:jc w:val="center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1.1. Аукционная документация разработана в соответствии с </w:t>
      </w:r>
      <w:hyperlink r:id="rId18" w:history="1">
        <w:r>
          <w:rPr>
            <w:rStyle w:val="af5"/>
          </w:rPr>
          <w:t>Федеральным законом от 06 октября 2003 года№ 131-ФЗ «Об общих принципах организации местного самоуправления в Российской Федерации</w:t>
        </w:r>
      </w:hyperlink>
      <w:r>
        <w:rPr>
          <w:rStyle w:val="af5"/>
        </w:rPr>
        <w:t>»</w:t>
      </w:r>
      <w:r>
        <w:t xml:space="preserve">, </w:t>
      </w:r>
      <w:hyperlink r:id="rId19" w:history="1">
        <w:r>
          <w:rPr>
            <w:rStyle w:val="af5"/>
          </w:rPr>
          <w:t>Федеральным законом от 28 декабря 2009 года № 381-ФЗ «Об основах государственного регулирования торговой деятельности в Российской Федерации</w:t>
        </w:r>
      </w:hyperlink>
      <w:r>
        <w:rPr>
          <w:rStyle w:val="af5"/>
        </w:rPr>
        <w:t>»</w:t>
      </w:r>
      <w:r>
        <w:t>.</w:t>
      </w:r>
    </w:p>
    <w:p>
      <w:pPr>
        <w:ind w:firstLine="567"/>
        <w:jc w:val="both"/>
      </w:pPr>
      <w:r>
        <w:t>1.2. Торги по продаже права на размещение сезонного нестационарного торгового объекта являются открытыми по составу участников и проводятся в форме аукциона, при этом аукцион является открытым по форме подачи предложений о размере стоимости права за размещение сезонного нестационарного торгового объекта.</w:t>
      </w:r>
    </w:p>
    <w:p>
      <w:pPr>
        <w:ind w:firstLine="567"/>
        <w:jc w:val="both"/>
      </w:pPr>
      <w:r>
        <w:t>1.3. Предметом аукциона является право на размещение сезонного нестационарного торгового объекта на весь период размещения (далее - лот).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1.4. Организацию проведения аукциона осуществляет Палата земельных и имущественных отношений Альметьевского муниципального района (далее - Уполномоченный орган, Организатор аукциона).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1.5. Проведение аукциона осуществляется постоянно действующей комиссией по организации и проведению торгов (далее - Комиссия), состав которой утвержден постановлением исполнительного комитета района. Комиссия правомочна осуществлять свои функции, если на заседании Комиссии присутствует не менее 50 процентов от общего числа ее членов.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1.6. Претендент - юридическое или физическое лицо, зарегистрированное в качестве индивидуального предпринимателя, выразившее волеизъявление на участие в аукционе и заключение договора, занимающееся торговой деятельностью.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1.7. Участник аукциона - лицо, допущенное Организатором аукциона для участия в аукционе.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1.8. Победитель аукциона - лицо, предложившее наивысший размер стоимости права на размещение сезонных нестационарных торговых объектов в порядке, установленном настоящим положением.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1.9. Протокол аукциона - протокол, подписываемый членами Комиссии, содержащий сведения о признании участника аукциона победителем и о результатах аукциона.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1.10. Договор – договор на размещение сезонного нестационарного торгового объекта, заключенный Уполномоченным органом и победителем аукциона.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1.11. Официальный сайт - сайт </w:t>
      </w:r>
      <w:proofErr w:type="spellStart"/>
      <w:r>
        <w:t>Альметьевского</w:t>
      </w:r>
      <w:proofErr w:type="spellEnd"/>
      <w:r>
        <w:t xml:space="preserve"> муниципального района </w:t>
      </w:r>
      <w:hyperlink r:id="rId20" w:history="1">
        <w:r>
          <w:rPr>
            <w:rStyle w:val="af5"/>
            <w:lang w:val="en-US"/>
          </w:rPr>
          <w:t>www</w:t>
        </w:r>
        <w:r>
          <w:rPr>
            <w:rStyle w:val="af5"/>
          </w:rPr>
          <w:t>.</w:t>
        </w:r>
        <w:proofErr w:type="spellStart"/>
        <w:r>
          <w:rPr>
            <w:rStyle w:val="af5"/>
            <w:lang w:val="en-US"/>
          </w:rPr>
          <w:t>almetyevsk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  <w:lang w:val="en-US"/>
          </w:rPr>
          <w:t>tatar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  <w:lang w:val="en-US"/>
          </w:rPr>
          <w:t>ru</w:t>
        </w:r>
        <w:proofErr w:type="spellEnd"/>
      </w:hyperlink>
      <w:r>
        <w:t>.</w:t>
      </w:r>
    </w:p>
    <w:p>
      <w:pPr>
        <w:pStyle w:val="formattexttopleveltext"/>
        <w:spacing w:before="0" w:beforeAutospacing="0" w:after="0" w:afterAutospacing="0"/>
        <w:ind w:firstLine="567"/>
        <w:jc w:val="center"/>
      </w:pPr>
      <w:r>
        <w:t>II. Действия, осуществляемые Уполномоченным органом (Организатором аукциона)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2.1. По письменному запросу претендентов в течение двух рабочих дней </w:t>
      </w:r>
      <w:proofErr w:type="gramStart"/>
      <w:r>
        <w:t>с даты поступления</w:t>
      </w:r>
      <w:proofErr w:type="gramEnd"/>
      <w:r>
        <w:t xml:space="preserve"> указанного запроса направляет разъяснение положений аукционной документации.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2.2. Имеет право принять решение о внесении изменений в аукционную документацию в срок не </w:t>
      </w:r>
      <w:proofErr w:type="gramStart"/>
      <w:r>
        <w:t>позднее</w:t>
      </w:r>
      <w:proofErr w:type="gramEnd"/>
      <w:r>
        <w:t xml:space="preserve"> чем за пять дней до даты окончания приема заявок. Вносимые в аукционную документацию изменения размещаются на официальном сайте.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2.3. Имеет право отказаться от проведения аукциона не </w:t>
      </w:r>
      <w:proofErr w:type="gramStart"/>
      <w:r>
        <w:t>позднее</w:t>
      </w:r>
      <w:proofErr w:type="gramEnd"/>
      <w:r>
        <w:t xml:space="preserve"> чем за пять дней до даты окончания приема заявок, разместив соответствующую информацию на официальном сайте.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2.4. Размещает информацию о результатах аукциона на сайте </w:t>
      </w:r>
      <w:proofErr w:type="spellStart"/>
      <w:r>
        <w:t>Альметьевского</w:t>
      </w:r>
      <w:proofErr w:type="spellEnd"/>
      <w:r>
        <w:t xml:space="preserve"> муниципального района www.almetyevsk.tatar.ru.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2.5. Не несет ответственности в случае, если претендент не ознакомился с аукционной документацией, размещенной на официальном сайте, а также с внесенными в нее изменениями.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2.6. Несет ответственность за сохранность заявок, протоколов заседаний Комиссии, документации об аукционе со всеми изменениями.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2.7. Имеет право установить требование о проведен</w:t>
      </w:r>
      <w:proofErr w:type="gramStart"/>
      <w:r>
        <w:t>ии ау</w:t>
      </w:r>
      <w:proofErr w:type="gramEnd"/>
      <w:r>
        <w:t xml:space="preserve">кциона лишь среди субъектов малого и среднего предпринимательства, отнесенных к таковым в соответствии с законодательством Российской Федерации, с частью 4 </w:t>
      </w:r>
      <w:hyperlink r:id="rId21" w:history="1">
        <w:r>
          <w:t>статьи 10 Федерального закона от 28 декабря 2009 года № 381-ФЗ «Об основах государственного регулирования торговой деятельности в Российской Федерации</w:t>
        </w:r>
      </w:hyperlink>
      <w:r>
        <w:t>» (данные требования не установлены).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2.8. Заключает договоры купли-продажи права на размещение сезонных нестационарных торговых объектов.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2.9. Ведет реестр договоров купли-продажи права  на размещение сезонных нестационарных торговых объектов.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2.10. Осуществляет </w:t>
      </w:r>
      <w:proofErr w:type="gramStart"/>
      <w:r>
        <w:t>контроль за</w:t>
      </w:r>
      <w:proofErr w:type="gramEnd"/>
      <w:r>
        <w:t xml:space="preserve"> исполнением условий договоров купли-продажи права  на размещение сезонных нестационарных торговых объектов.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2.11. Взимает плату за приобретенное по итогам открытого аукциона права  размещение нестационарных торговых объектов.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2.12. Выполняет иные необходимые функции, предусмотренные настоящим положением.</w:t>
      </w:r>
    </w:p>
    <w:p>
      <w:pPr>
        <w:pStyle w:val="headertexttopleveltextcentertext"/>
        <w:jc w:val="center"/>
      </w:pPr>
    </w:p>
    <w:p>
      <w:pPr>
        <w:pStyle w:val="headertexttopleveltextcentertext"/>
        <w:jc w:val="center"/>
      </w:pPr>
      <w:r>
        <w:rPr>
          <w:lang w:val="en-US"/>
        </w:rPr>
        <w:t>I</w:t>
      </w:r>
      <w:r>
        <w:t>II. Порядок приема заявок</w:t>
      </w:r>
    </w:p>
    <w:p>
      <w:pPr>
        <w:pStyle w:val="headertexttopleveltextcentertext"/>
        <w:spacing w:before="0" w:beforeAutospacing="0" w:after="0" w:afterAutospacing="0"/>
        <w:ind w:firstLine="567"/>
        <w:jc w:val="both"/>
      </w:pPr>
      <w:r>
        <w:t>3.1. Заявка и прилагаемые к ней документы подаются претендентом в открытой форме в отношении каждого заявляемого лота по форме и в сроки, которые установлены аукционной документацией.</w:t>
      </w:r>
    </w:p>
    <w:p>
      <w:pPr>
        <w:pStyle w:val="headertexttopleveltextcentertext"/>
        <w:spacing w:before="0" w:beforeAutospacing="0" w:after="0" w:afterAutospacing="0"/>
        <w:ind w:firstLine="567"/>
        <w:jc w:val="both"/>
      </w:pPr>
      <w:r>
        <w:t xml:space="preserve">3.2. Подача заявки является акцептом оферты в соответствии со </w:t>
      </w:r>
      <w:hyperlink r:id="rId22" w:history="1">
        <w:r>
          <w:t>статьей 438 Гражданского кодекса Российской Федерации</w:t>
        </w:r>
      </w:hyperlink>
      <w:r>
        <w:t>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3.3. Заявка должна содержать: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3.3.1. Информацию о дате проведения аукциона и номере заявленного лота;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proofErr w:type="gramStart"/>
      <w:r>
        <w:t>3.3.2. сведения о претенденте, в том числе наименование и место нахождения юридического лица либо фамилию, имя, отчество и место жительства индивидуального предпринимателя, почтовый адрес, банковские реквизиты для возврата задатка и (или) заключения договора, номер контактного телефона; при проведении аукциона среди субъектов малого и среднего предпринимательства - сведения, подтверждающие отнесение претендента к указанной категории.</w:t>
      </w:r>
      <w:proofErr w:type="gramEnd"/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3.4. К заявке прилагаются следующие документы: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proofErr w:type="gramStart"/>
      <w:r>
        <w:t>3.4.1.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– руководитель).</w:t>
      </w:r>
      <w:proofErr w:type="gramEnd"/>
      <w:r>
        <w:t xml:space="preserve"> В случае если от имени заявителя действует иное лицо, заявка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должна содержать также документ, подтверждающий полномочия такого лица;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3.4.2. копии учредительных документов заявителя (для юридических лиц);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3.4.3. 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является крупной сделкой;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3.4.4.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решений о приостановлении деятельности заявителя в порядке, предусмотренном </w:t>
      </w:r>
      <w:hyperlink r:id="rId23" w:history="1">
        <w:r>
          <w:t>Кодексом Российской Федерации об административных правонарушениях</w:t>
        </w:r>
      </w:hyperlink>
      <w:r>
        <w:t>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3.4.5. платежное поручение, подтверждающее внесение задатка по заявленному лоту;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3.4.6. опись представленных документов в двух экземплярах.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3.5. Поступившие заявки регистрируются Организатором аукциона в порядке поступления с указанием номера, времени и даты регистрации. Один экземпляр описи представленных документов с отметкой о дате и времени регистрации заявки возвращается претенденту.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3.6. Организатор аукциона отказывает в приеме заявки в следующих случаях: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3.6.1. непредставление документов, определенных извещением о проведен</w:t>
      </w:r>
      <w:proofErr w:type="gramStart"/>
      <w:r>
        <w:t>ии ау</w:t>
      </w:r>
      <w:proofErr w:type="gramEnd"/>
      <w:r>
        <w:t>кциона, либо наличие в таких документах недостоверных сведений;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3.6.2.</w:t>
      </w:r>
      <w:r>
        <w:rPr>
          <w:color w:val="FFFFFF" w:themeColor="background1"/>
        </w:rPr>
        <w:t>-</w:t>
      </w:r>
      <w:r>
        <w:t xml:space="preserve">несоответствие заявителя требованиям, указанным в </w:t>
      </w:r>
      <w:hyperlink r:id="rId24" w:history="1">
        <w:r>
          <w:t>разделе «Требования к заявителям» настоящей аукционной документации</w:t>
        </w:r>
      </w:hyperlink>
      <w:r>
        <w:t>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3.6.3. невнесение задатка;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3.6.4. несоответствие заявки требованиям аукционной документации;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3.6.5. наличие решения о ликвидации заявителя - юридического лица или наличие решений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3.6.6.</w:t>
      </w:r>
      <w:r>
        <w:rPr>
          <w:color w:val="FFFFFF" w:themeColor="background1"/>
        </w:rPr>
        <w:t>-</w:t>
      </w:r>
      <w:r>
        <w:t xml:space="preserve">наличие решения о приостановлении деятельности заявителя в порядке, предусмотренном </w:t>
      </w:r>
      <w:hyperlink r:id="rId25" w:history="1">
        <w:r>
          <w:t>Кодексом Российской Федерации об административных правонарушениях</w:t>
        </w:r>
      </w:hyperlink>
      <w:r>
        <w:t>, на день рассмотрения заявки.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Перечень указанных оснований отказа претенденту в участии в аукционе является исчерпывающим.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3.7. В случае установления факта недостоверности сведений, содержащихся в документах, представленных заявителем или участником аукциона, Комиссия обязана отстранить такого заявителя или участника аукциона от участия в аукционе на любом этапе его проведения.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3.8. Претендент, подавший заявку, вправе отозвать заявку в любое время до даты окончания приема заявок, уведомив в письменной форме Организатора аукциона.</w:t>
      </w:r>
    </w:p>
    <w:p>
      <w:pPr>
        <w:pStyle w:val="formattexttopleveltext"/>
        <w:spacing w:before="0" w:beforeAutospacing="0" w:after="0" w:afterAutospacing="0"/>
        <w:ind w:firstLine="567"/>
        <w:jc w:val="center"/>
      </w:pPr>
      <w:r>
        <w:br/>
      </w:r>
      <w:r>
        <w:rPr>
          <w:lang w:val="en-US"/>
        </w:rPr>
        <w:t>IV</w:t>
      </w:r>
      <w:r>
        <w:t>. Порядок проведения аукциона и оформление</w:t>
      </w:r>
      <w:r>
        <w:br/>
        <w:t> его результатов</w:t>
      </w:r>
    </w:p>
    <w:p>
      <w:pPr>
        <w:pStyle w:val="formattexttopleveltext"/>
        <w:spacing w:before="0" w:beforeAutospacing="0" w:after="0" w:afterAutospacing="0"/>
        <w:ind w:firstLine="567"/>
        <w:jc w:val="center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4.1. В течение трех рабочих дней до даты проведения аукциона, указанной в информационном извещении о проведении аукциона, Организатор аукциона рассматривает заявки и документы претендентов, устанавливает факт поступления от претендентов задатков на основании выписки (выписок) с соответствующего счета. По результатам рассмотрения заявок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аукционе, которое оформляется протоколом рассмотрения заявок.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4.2. Протокол рассмотрения заявок ведется Комиссией и подписывается всеми присутствующими на заседании членами Комиссии в день рассмотрения заявок. Протокол рассмотрения заявок не </w:t>
      </w:r>
      <w:proofErr w:type="gramStart"/>
      <w:r>
        <w:t>позднее</w:t>
      </w:r>
      <w:proofErr w:type="gramEnd"/>
      <w:r>
        <w:t xml:space="preserve"> чем на следующий рабочий день после рассмотрения заявок размещается Уполномоченным органом на официальном сайте.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4.3. Аукцион признается несостоявшимся в следующих случаях: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4.3.1. по окончании срока подачи заявок подана лишь одна заявка;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4.3.2. по окончании срока подачи заявок не подано ни одной заявки;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4.3.3. Комиссией принято решение об отказе всем претендентам в допуске к участию в аукционе.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4.4. В случае если аукцион признан несостоявшимся, Организатор аукциона вправе объявить о проведении нового аукциона. В случае объявления о проведении нового аукциона Организатор аукциона вправе изменить условия аукциона.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4.5. Претендент приобретает статус участника аукциона с момента оформления Организатором аукциона протокола о рассмотрении заявок.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4.6. Аукцион проводится в следующем порядке: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1) торги осуществляет аукционист – член аукционной комиссии, выбранный по итогам открытого голосования;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2) торги проводятся по каждому лоту отдельно;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3) торги ведутся путем повышения начального (минимального) размера стоимости права на размещение объекта, указанного в извещении о проведен</w:t>
      </w:r>
      <w:proofErr w:type="gramStart"/>
      <w:r>
        <w:t>ии ау</w:t>
      </w:r>
      <w:proofErr w:type="gramEnd"/>
      <w:r>
        <w:t>кциона, на шаг аукциона;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4) победителем торгов признается участник, предложивший наиболее высокий размер стоимости права на размещение нестационарного торгового объекта.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4.7. Результат аукциона оформляется протоколом об итогах аукциона, содержащим сведения о месте, дате и времени проведения аукциона, об участниках аукциона, о начальном (минимальном) размере платы за заключение договора на размещение нестационарного торгового объекта, последнем и предпоследнем предложениях о размере стоимости права на размещение нестационарного торгового объекта, наименовании и месте нахождения (для юридического лица), фамилию, имя, отчество, сведения о месте жительства (для индивидуального предпринимателя) победителя аукциона и участника, который сделал предпоследнее предложение о размере стоимости права на размещение нестационарного торгового объекта.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4.8. Протокол об итогах аукциона составляется в двух экземплярах, подписывается всеми присутствующими членами Комиссии в день проведения аукциона, один из экземпляров протокола остается у Организатора аукциона.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4.9. Протокол об итогах аукциона вручается победителю аукциона и является документом, удостоверяющим право победителя на заключение договора.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4.10. </w:t>
      </w:r>
      <w:proofErr w:type="gramStart"/>
      <w:r>
        <w:t>Право на размещение нестационарного торгового объекта может быть передано без проведения торгов лицу, подавшему единственную заявку, в случае если указанная заявка соответствует требованиям и условиям, предусмотренным аукционной документацией, а также лицу, признанному единственным участником аукциона, на условиях, которые предусмотрены аукционной документацией, с размером платы за заключение договора на размещение нестационарного торгового объекта, равным начальному (минимальному) размеру стоимости права на размещение</w:t>
      </w:r>
      <w:proofErr w:type="gramEnd"/>
      <w:r>
        <w:t xml:space="preserve"> нестационарного торгового объекта, </w:t>
      </w:r>
      <w:proofErr w:type="gramStart"/>
      <w:r>
        <w:t>указанному</w:t>
      </w:r>
      <w:proofErr w:type="gramEnd"/>
      <w:r>
        <w:t xml:space="preserve"> в извещении о проведении аукциона. При этом для Уполномоченного органа заключение предусмотренного настоящим пунктом договора в указанных случаях является обязательным.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4.11. При уклонении или отказе победителя аукциона от заключения в установленный срок договора он утрачивает право на заключение договора и задаток ему не возвращается. Право на заключение договора предоставляется лицу, предложившему наиболее высокую цену, следующую после предложенного победителем аукциона размера стоимости права на размещение нестационарного торгового объекта.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4.12. По результатам аукциона победитель аукциона и Уполномоченный орган в течение пяти рабочих дней </w:t>
      </w:r>
      <w:proofErr w:type="gramStart"/>
      <w:r>
        <w:t>с даты  подведения</w:t>
      </w:r>
      <w:proofErr w:type="gramEnd"/>
      <w:r>
        <w:t xml:space="preserve"> итогов аукциона заключают договор.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4.13. Оплата приобретаемого на аукционе размера стоимости права на размещение нестационарного торгового объекта производится путем перечисления денежных средств на счет Уполномоченного органа, указанный в информационном извещении о проведен</w:t>
      </w:r>
      <w:proofErr w:type="gramStart"/>
      <w:r>
        <w:t>ии ау</w:t>
      </w:r>
      <w:proofErr w:type="gramEnd"/>
      <w:r>
        <w:t>кциона, в течение 10 банковских дней с даты заключения договора. Внесенный задаток засчитывается в счет размера стоимости права на размещение нестационарного торгового объекта. Справка, подтверждающая поступление в полном объеме платы является неотъемлемым приложением к договору.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4.14. Ответственность покупателя в случае его отказа или уклонения от оплаты в установленные сроки предусматривается в договоре в соответствии с законодательством Российской Федерации.</w:t>
      </w:r>
    </w:p>
    <w:p>
      <w:pPr>
        <w:pStyle w:val="formattexttopleveltext"/>
        <w:spacing w:before="0" w:beforeAutospacing="0" w:after="0" w:afterAutospacing="0"/>
        <w:ind w:firstLine="567"/>
        <w:jc w:val="center"/>
      </w:pPr>
      <w:r>
        <w:rPr>
          <w:lang w:val="en-US"/>
        </w:rPr>
        <w:t>V</w:t>
      </w:r>
      <w:r>
        <w:t>. Порядок возврата задатка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5.1. Денежные средства, внесенные претендентами в качестве задатков, возвращаются Организатором аукциона в течение пяти рабочих дней: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5.1.1. претендентам со дня размещения на официальном сайте извещения об отказе от проведения аукциона;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5.1.2. претенденту со дня поступления письменного уведомления об отзыве заявки при его получении до дня окончания приема заявок;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5.1.3. претендентам и участникам аукциона со дня размещения на официальном сайте протокола аукциона, в случае если аукцион признан несостоявшимся;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5.1.4. претендентам и участникам аукциона со дня размещения на официальном сайте протокола аукциона, за исключением победителя аукциона и второго участника аукциона;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>5.1.5. второму участнику аукциона после заключения договора с победителем аукциона.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  <w:r>
        <w:t xml:space="preserve">5.2. В случае признания победителя аукциона или второго участника аукциона </w:t>
      </w:r>
      <w:proofErr w:type="gramStart"/>
      <w:r>
        <w:t>уклонившимися</w:t>
      </w:r>
      <w:proofErr w:type="gramEnd"/>
      <w:r>
        <w:t xml:space="preserve"> от заключения договора внесенный задаток не возвращается.</w:t>
      </w: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pStyle w:val="formattexttopleveltext"/>
        <w:spacing w:before="0" w:beforeAutospacing="0" w:after="0" w:afterAutospacing="0"/>
        <w:ind w:firstLine="567"/>
        <w:jc w:val="both"/>
      </w:pPr>
    </w:p>
    <w:p>
      <w:pPr>
        <w:widowControl w:val="0"/>
        <w:autoSpaceDE w:val="0"/>
        <w:autoSpaceDN w:val="0"/>
        <w:adjustRightInd w:val="0"/>
        <w:jc w:val="center"/>
      </w:pPr>
      <w:bookmarkStart w:id="0" w:name="sub_3432"/>
      <w:r>
        <w:t>Форма заявки на участие в аукционе</w:t>
      </w:r>
    </w:p>
    <w:p>
      <w:pPr>
        <w:pStyle w:val="af1"/>
        <w:rPr>
          <w:rFonts w:ascii="Times New Roman" w:hAnsi="Times New Roman" w:cs="Times New Roman"/>
          <w:sz w:val="24"/>
          <w:szCs w:val="24"/>
        </w:rPr>
      </w:pPr>
    </w:p>
    <w:p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НА УЧАСТИЕ В АУКЦИОНЕ  №_________</w:t>
      </w:r>
    </w:p>
    <w:p>
      <w:pPr>
        <w:jc w:val="center"/>
      </w:pPr>
      <w:proofErr w:type="gramStart"/>
      <w:r>
        <w:t>(заполняется претендентом (его полномочным представителем)</w:t>
      </w:r>
      <w:proofErr w:type="gramEnd"/>
    </w:p>
    <w:p>
      <w:pPr>
        <w:jc w:val="both"/>
        <w:rPr>
          <w:b/>
        </w:rPr>
      </w:pPr>
    </w:p>
    <w:p>
      <w:pPr>
        <w:jc w:val="both"/>
        <w:rPr>
          <w:b/>
        </w:rPr>
      </w:pPr>
      <w:r>
        <w:rPr>
          <w:b/>
        </w:rPr>
        <w:t>Претендент – физическое лицо _______                 юридическое лицо ______</w:t>
      </w:r>
    </w:p>
    <w:p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>
        <w:tc>
          <w:tcPr>
            <w:tcW w:w="10314" w:type="dxa"/>
          </w:tcPr>
          <w:p>
            <w:pPr>
              <w:pStyle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(для заполнения предпринимателем, физическим лицом)</w:t>
            </w:r>
          </w:p>
          <w:p>
            <w:pPr>
              <w:pStyle w:val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Ф.И.О./ наименование претендента _________________________________________</w:t>
            </w:r>
          </w:p>
          <w:p>
            <w:pPr>
              <w:jc w:val="both"/>
            </w:pPr>
            <w:r>
              <w:t>________________________________________________________________________</w:t>
            </w:r>
          </w:p>
          <w:p>
            <w:r>
              <w:t>(для физических лиц)</w:t>
            </w:r>
          </w:p>
          <w:p>
            <w:pPr>
              <w:pStyle w:val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Документ, удостоверяющий личность _______________________________________</w:t>
            </w:r>
          </w:p>
          <w:p>
            <w:pPr>
              <w:jc w:val="both"/>
            </w:pPr>
            <w:r>
              <w:t>Серия __________ № ______________ выдан «____»________________20___ г.</w:t>
            </w:r>
          </w:p>
          <w:p>
            <w:pPr>
              <w:jc w:val="both"/>
            </w:pPr>
            <w:r>
              <w:t>____________________________________________код подразделения____________</w:t>
            </w:r>
          </w:p>
          <w:p>
            <w:pPr>
              <w:jc w:val="center"/>
            </w:pPr>
            <w:r>
              <w:t xml:space="preserve">(кем </w:t>
            </w:r>
            <w:proofErr w:type="gramStart"/>
            <w:r>
              <w:t>выдан</w:t>
            </w:r>
            <w:proofErr w:type="gramEnd"/>
            <w:r>
              <w:t>)</w:t>
            </w:r>
          </w:p>
          <w:p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ИНН___________________________________________________________________</w:t>
            </w:r>
          </w:p>
          <w:p>
            <w:pPr>
              <w:jc w:val="both"/>
              <w:rPr>
                <w:b/>
              </w:rPr>
            </w:pPr>
          </w:p>
        </w:tc>
      </w:tr>
    </w:tbl>
    <w:p>
      <w:pPr>
        <w:jc w:val="both"/>
        <w:rPr>
          <w:b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>
        <w:tc>
          <w:tcPr>
            <w:tcW w:w="10314" w:type="dxa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>(для заполнения юридическим лицом)</w:t>
            </w:r>
          </w:p>
          <w:p>
            <w:pPr>
              <w:jc w:val="both"/>
            </w:pPr>
            <w:r>
              <w:t>Наименование юридического лица с указанием организационно-правовой формы_________________________________________________________________________________________________________________________</w:t>
            </w:r>
          </w:p>
          <w:p>
            <w:pPr>
              <w:jc w:val="both"/>
            </w:pPr>
            <w:r>
              <w:t>Документ о государственной регистрации в качестве юридического лица ________________________________________________________________________</w:t>
            </w:r>
          </w:p>
          <w:p>
            <w:pPr>
              <w:jc w:val="both"/>
            </w:pPr>
            <w:r>
              <w:t>Серия__________ № ___________, дата регистрации «______»_________________</w:t>
            </w:r>
            <w:proofErr w:type="gramStart"/>
            <w:r>
              <w:t>г</w:t>
            </w:r>
            <w:proofErr w:type="gramEnd"/>
            <w:r>
              <w:t>.</w:t>
            </w:r>
          </w:p>
          <w:p>
            <w:pPr>
              <w:jc w:val="both"/>
            </w:pPr>
            <w:r>
              <w:t>Орган, осуществивший регистрацию ________________________________________</w:t>
            </w:r>
          </w:p>
          <w:p>
            <w:pPr>
              <w:jc w:val="both"/>
            </w:pPr>
            <w:r>
              <w:t>Место выдачи ___________________________________________________________</w:t>
            </w:r>
          </w:p>
          <w:p>
            <w:pPr>
              <w:jc w:val="both"/>
            </w:pPr>
            <w:r>
              <w:t>Основной государственный регистрационный номер (ОГРН)____________________</w:t>
            </w:r>
          </w:p>
          <w:p>
            <w:pPr>
              <w:jc w:val="both"/>
            </w:pPr>
            <w:r>
              <w:t>ИНН ____________________________   КПП_________________________________</w:t>
            </w:r>
          </w:p>
          <w:p>
            <w:pPr>
              <w:pStyle w:val="af7"/>
              <w:rPr>
                <w:b/>
              </w:rPr>
            </w:pPr>
          </w:p>
        </w:tc>
      </w:tr>
    </w:tbl>
    <w:p>
      <w:pPr>
        <w:jc w:val="both"/>
        <w:rPr>
          <w:b/>
        </w:rPr>
      </w:pPr>
    </w:p>
    <w:p>
      <w:pPr>
        <w:jc w:val="both"/>
      </w:pPr>
      <w:r>
        <w:t xml:space="preserve"> Место жительства/ место нахождения претендента: ___________________________</w:t>
      </w:r>
    </w:p>
    <w:p>
      <w:pPr>
        <w:jc w:val="both"/>
      </w:pPr>
      <w:r>
        <w:t>________________________________________________________________________</w:t>
      </w:r>
    </w:p>
    <w:p>
      <w:pPr>
        <w:jc w:val="both"/>
      </w:pPr>
      <w:r>
        <w:t>Телефон __________________ Факс__________________ Индекс________________</w:t>
      </w:r>
    </w:p>
    <w:p>
      <w:pPr>
        <w:jc w:val="both"/>
      </w:pPr>
      <w:r>
        <w:t xml:space="preserve">Банковские реквизиты претендента для возврата денежных средств: расчетный (лицевой) счет № ___________________________ </w:t>
      </w:r>
      <w:proofErr w:type="gramStart"/>
      <w:r>
        <w:t>в</w:t>
      </w:r>
      <w:proofErr w:type="gramEnd"/>
      <w:r>
        <w:t xml:space="preserve"> ____________________________</w:t>
      </w:r>
    </w:p>
    <w:p>
      <w:pPr>
        <w:jc w:val="both"/>
      </w:pPr>
      <w:r>
        <w:t>Корр. счет № ___________________ БИК_______________ИНН_________________</w:t>
      </w:r>
    </w:p>
    <w:p>
      <w:pPr>
        <w:jc w:val="both"/>
      </w:pPr>
    </w:p>
    <w:p>
      <w:pPr>
        <w:jc w:val="both"/>
      </w:pPr>
      <w:r>
        <w:t>Представитель претендента ________________________(Ф.И.О. или наименование)</w:t>
      </w:r>
    </w:p>
    <w:p>
      <w:pPr>
        <w:jc w:val="both"/>
      </w:pPr>
      <w:r>
        <w:t xml:space="preserve">Действует на основании доверенности от «_____»_______________ </w:t>
      </w:r>
      <w:proofErr w:type="gramStart"/>
      <w:r>
        <w:t>г</w:t>
      </w:r>
      <w:proofErr w:type="gramEnd"/>
      <w:r>
        <w:t>. №__________</w:t>
      </w:r>
    </w:p>
    <w:p>
      <w:pPr>
        <w:jc w:val="both"/>
      </w:pPr>
      <w:r>
        <w:t>Реквизиты документа, удостоверяющего личность представителя – физического лица  или документа о государственной регистрации в качестве юридического лица ________________________________________________________________________</w:t>
      </w:r>
    </w:p>
    <w:p>
      <w:pPr>
        <w:jc w:val="both"/>
      </w:pPr>
      <w:r>
        <w:t>________________________________________________________________________________________________________________________________________________</w:t>
      </w:r>
    </w:p>
    <w:p>
      <w:pPr>
        <w:jc w:val="center"/>
      </w:pPr>
      <w:r>
        <w:t>(наименование документа, серия, номер, дата и место выдачи (регистрации), кем выдан)</w:t>
      </w:r>
    </w:p>
    <w:p>
      <w:pPr>
        <w:pStyle w:val="af7"/>
      </w:pPr>
      <w:r>
        <w:tab/>
      </w:r>
    </w:p>
    <w:p>
      <w:pPr>
        <w:pStyle w:val="af7"/>
      </w:pPr>
    </w:p>
    <w:p>
      <w:pPr>
        <w:pStyle w:val="af7"/>
      </w:pPr>
    </w:p>
    <w:p>
      <w:pPr>
        <w:pStyle w:val="af7"/>
        <w:ind w:firstLine="720"/>
      </w:pPr>
      <w:r>
        <w:t>1. Ознакомившись с материалами аукциона по продаже права на размещение сезонных нестационарных торговых объектов, я, Претендент, заявляю, что согласен приобрести право на следующий лот: ____________________________________________________________________________________</w:t>
      </w:r>
    </w:p>
    <w:p>
      <w:pPr>
        <w:jc w:val="both"/>
      </w:pPr>
      <w:r>
        <w:t>_______________________________________________________________________________________________________________________________________________________________________</w:t>
      </w:r>
    </w:p>
    <w:p>
      <w:pPr>
        <w:pBdr>
          <w:bottom w:val="single" w:sz="12" w:space="1" w:color="auto"/>
        </w:pBdr>
        <w:jc w:val="both"/>
      </w:pPr>
    </w:p>
    <w:p>
      <w:pPr>
        <w:jc w:val="center"/>
      </w:pPr>
      <w:r>
        <w:t>( полное наименование</w:t>
      </w:r>
      <w:proofErr w:type="gramStart"/>
      <w:r>
        <w:t xml:space="preserve"> )</w:t>
      </w:r>
      <w:proofErr w:type="gramEnd"/>
    </w:p>
    <w:p>
      <w:pPr>
        <w:jc w:val="center"/>
      </w:pPr>
    </w:p>
    <w:p>
      <w:pPr>
        <w:jc w:val="both"/>
      </w:pPr>
      <w:r>
        <w:tab/>
      </w:r>
    </w:p>
    <w:p>
      <w:pPr>
        <w:jc w:val="both"/>
      </w:pPr>
    </w:p>
    <w:p>
      <w:pPr>
        <w:ind w:firstLine="720"/>
        <w:jc w:val="both"/>
      </w:pPr>
      <w:r>
        <w:t>2. Претендент согласен с внесением задатка в размере ____________________</w:t>
      </w:r>
    </w:p>
    <w:p>
      <w:pPr>
        <w:jc w:val="both"/>
      </w:pPr>
      <w:r>
        <w:t>(___________________________________________________________________) руб.</w:t>
      </w:r>
    </w:p>
    <w:p>
      <w:pPr>
        <w:jc w:val="both"/>
      </w:pPr>
      <w:r>
        <w:tab/>
        <w:t>(цифрами, прописью)</w:t>
      </w:r>
    </w:p>
    <w:p>
      <w:pPr>
        <w:jc w:val="both"/>
      </w:pPr>
    </w:p>
    <w:p>
      <w:pPr>
        <w:jc w:val="both"/>
      </w:pPr>
      <w:r>
        <w:tab/>
        <w:t>3. Претендент был ознакомлен со всей документацией продаваемого права, с условиями договора купли-продажи права.</w:t>
      </w:r>
    </w:p>
    <w:p>
      <w:pPr>
        <w:jc w:val="both"/>
      </w:pPr>
    </w:p>
    <w:p>
      <w:pPr>
        <w:jc w:val="both"/>
      </w:pPr>
      <w:r>
        <w:tab/>
        <w:t>4. Претендентом был проведен личный осмотр места размещения сезонного нестационарного торгового объекта.</w:t>
      </w:r>
    </w:p>
    <w:p>
      <w:pPr>
        <w:jc w:val="both"/>
      </w:pPr>
    </w:p>
    <w:p>
      <w:pPr>
        <w:jc w:val="both"/>
      </w:pPr>
      <w:r>
        <w:tab/>
        <w:t>5.    Претендент согласен на обработку персональных данных.</w:t>
      </w:r>
    </w:p>
    <w:p>
      <w:pPr>
        <w:jc w:val="both"/>
      </w:pPr>
    </w:p>
    <w:p>
      <w:pPr>
        <w:jc w:val="both"/>
      </w:pPr>
      <w:r>
        <w:tab/>
      </w:r>
    </w:p>
    <w:p>
      <w:pPr>
        <w:jc w:val="both"/>
      </w:pPr>
    </w:p>
    <w:p>
      <w:pPr>
        <w:jc w:val="both"/>
      </w:pPr>
      <w:r>
        <w:t>Подпись претендента (его полномочного представителя)_______________________</w:t>
      </w:r>
    </w:p>
    <w:p>
      <w:pPr>
        <w:jc w:val="both"/>
      </w:pPr>
      <w:r>
        <w:t xml:space="preserve">                                                                                  Дата «_____»______________20___г.</w:t>
      </w: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>
      <w:pPr>
        <w:pBdr>
          <w:bottom w:val="single" w:sz="12" w:space="1" w:color="auto"/>
        </w:pBdr>
        <w:jc w:val="both"/>
      </w:pPr>
    </w:p>
    <w:p>
      <w:pPr>
        <w:pBdr>
          <w:bottom w:val="single" w:sz="12" w:space="1" w:color="auto"/>
        </w:pBdr>
        <w:jc w:val="both"/>
      </w:pPr>
    </w:p>
    <w:p>
      <w:pPr>
        <w:pBdr>
          <w:bottom w:val="single" w:sz="12" w:space="1" w:color="auto"/>
        </w:pBd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t>Заявка принята продавцом (его полномочным представителем)</w:t>
      </w:r>
    </w:p>
    <w:p>
      <w:pPr>
        <w:jc w:val="both"/>
      </w:pPr>
      <w:r>
        <w:t xml:space="preserve">«_____»______________20___г.   </w:t>
      </w:r>
      <w:proofErr w:type="gramStart"/>
      <w:r>
        <w:t>в</w:t>
      </w:r>
      <w:proofErr w:type="gramEnd"/>
      <w:r>
        <w:t xml:space="preserve"> _____ часов ________минут</w:t>
      </w:r>
    </w:p>
    <w:p>
      <w:pPr>
        <w:jc w:val="both"/>
      </w:pPr>
    </w:p>
    <w:p>
      <w:pPr>
        <w:jc w:val="both"/>
      </w:pPr>
      <w:r>
        <w:t>Подпись уполномоченного лица, принявшего заявку___________________________</w:t>
      </w: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/>
    <w:p/>
    <w:p/>
    <w:p/>
    <w:p/>
    <w:p/>
    <w:p/>
    <w:p>
      <w:pPr>
        <w:widowControl w:val="0"/>
        <w:autoSpaceDE w:val="0"/>
        <w:autoSpaceDN w:val="0"/>
        <w:adjustRightInd w:val="0"/>
        <w:jc w:val="center"/>
        <w:rPr>
          <w:color w:val="000080"/>
        </w:rPr>
      </w:pPr>
    </w:p>
    <w:p>
      <w:pPr>
        <w:widowControl w:val="0"/>
        <w:autoSpaceDE w:val="0"/>
        <w:autoSpaceDN w:val="0"/>
        <w:adjustRightInd w:val="0"/>
        <w:jc w:val="center"/>
        <w:rPr>
          <w:color w:val="000080"/>
        </w:rPr>
      </w:pPr>
    </w:p>
    <w:p>
      <w:pPr>
        <w:widowControl w:val="0"/>
        <w:autoSpaceDE w:val="0"/>
        <w:autoSpaceDN w:val="0"/>
        <w:adjustRightInd w:val="0"/>
        <w:jc w:val="center"/>
        <w:rPr>
          <w:color w:val="000080"/>
        </w:rPr>
      </w:pPr>
    </w:p>
    <w:p>
      <w:pPr>
        <w:widowControl w:val="0"/>
        <w:autoSpaceDE w:val="0"/>
        <w:autoSpaceDN w:val="0"/>
        <w:adjustRightInd w:val="0"/>
        <w:rPr>
          <w:color w:val="000080"/>
        </w:rPr>
      </w:pPr>
    </w:p>
    <w:bookmarkEnd w:id="0"/>
    <w:p>
      <w:pPr>
        <w:pStyle w:val="ConsTitle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pStyle w:val="ConsTitle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pStyle w:val="ConsTitle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pStyle w:val="ConsTitle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pStyle w:val="ConsTitle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shd w:val="clear" w:color="auto" w:fill="FFFFFF"/>
        <w:jc w:val="center"/>
      </w:pPr>
      <w:r>
        <w:t xml:space="preserve">Форма описи представленных документов </w:t>
      </w:r>
    </w:p>
    <w:p>
      <w:pPr>
        <w:shd w:val="clear" w:color="auto" w:fill="FFFFFF"/>
        <w:jc w:val="center"/>
      </w:pPr>
      <w:r>
        <w:t>для индивидуальных предпринимателей и юридических лиц</w:t>
      </w:r>
    </w:p>
    <w:p>
      <w:pPr>
        <w:shd w:val="clear" w:color="auto" w:fill="FFFFFF"/>
        <w:jc w:val="center"/>
      </w:pPr>
    </w:p>
    <w:p>
      <w:pPr>
        <w:pStyle w:val="afd"/>
        <w:ind w:left="786"/>
        <w:jc w:val="center"/>
      </w:pPr>
      <w:r>
        <w:t>Опись представленных документов для участия в аукционе</w:t>
      </w:r>
    </w:p>
    <w:p>
      <w:pPr>
        <w:pStyle w:val="afd"/>
        <w:ind w:left="786"/>
        <w:jc w:val="both"/>
      </w:pPr>
      <w:r>
        <w:t>_________________________________________________________________</w:t>
      </w:r>
    </w:p>
    <w:p>
      <w:pPr>
        <w:pStyle w:val="afd"/>
        <w:ind w:left="786"/>
        <w:jc w:val="both"/>
      </w:pPr>
      <w:r>
        <w:t>(для ИП)</w:t>
      </w:r>
    </w:p>
    <w:p>
      <w:pPr>
        <w:pStyle w:val="afd"/>
        <w:ind w:left="786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>
        <w:tc>
          <w:tcPr>
            <w:tcW w:w="817" w:type="dxa"/>
          </w:tcPr>
          <w:p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563" w:type="dxa"/>
          </w:tcPr>
          <w:p>
            <w:pPr>
              <w:pStyle w:val="afd"/>
              <w:ind w:left="786"/>
              <w:jc w:val="both"/>
            </w:pPr>
            <w:r>
              <w:t>Наименование</w:t>
            </w:r>
          </w:p>
        </w:tc>
        <w:tc>
          <w:tcPr>
            <w:tcW w:w="3191" w:type="dxa"/>
          </w:tcPr>
          <w:p>
            <w:r>
              <w:t xml:space="preserve">Количество листов (с указанием оригинал, копия, </w:t>
            </w:r>
            <w:proofErr w:type="spellStart"/>
            <w:r>
              <w:t>нотар</w:t>
            </w:r>
            <w:proofErr w:type="spellEnd"/>
            <w:r>
              <w:t>. заверенная копия)</w:t>
            </w:r>
          </w:p>
        </w:tc>
      </w:tr>
      <w:tr>
        <w:tc>
          <w:tcPr>
            <w:tcW w:w="817" w:type="dxa"/>
          </w:tcPr>
          <w:p>
            <w:r>
              <w:t>1</w:t>
            </w:r>
          </w:p>
        </w:tc>
        <w:tc>
          <w:tcPr>
            <w:tcW w:w="5563" w:type="dxa"/>
          </w:tcPr>
          <w:p>
            <w:pPr>
              <w:jc w:val="both"/>
            </w:pPr>
            <w:r>
              <w:t>Заявка установленного образца</w:t>
            </w:r>
          </w:p>
          <w:p>
            <w:pPr>
              <w:jc w:val="both"/>
              <w:rPr>
                <w:u w:val="single"/>
              </w:rPr>
            </w:pP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2</w:t>
            </w:r>
          </w:p>
        </w:tc>
        <w:tc>
          <w:tcPr>
            <w:tcW w:w="5563" w:type="dxa"/>
          </w:tcPr>
          <w:p>
            <w:pPr>
              <w:jc w:val="both"/>
              <w:rPr>
                <w:u w:val="single"/>
              </w:rPr>
            </w:pPr>
            <w:r>
              <w:t>Свидетельство о государственной регистрации индивидуального предпринимателя (копия)</w:t>
            </w:r>
          </w:p>
          <w:p>
            <w:pPr>
              <w:pStyle w:val="afd"/>
              <w:ind w:left="786"/>
              <w:jc w:val="both"/>
            </w:pP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3</w:t>
            </w:r>
          </w:p>
        </w:tc>
        <w:tc>
          <w:tcPr>
            <w:tcW w:w="5563" w:type="dxa"/>
          </w:tcPr>
          <w:p>
            <w:pPr>
              <w:jc w:val="both"/>
            </w:pPr>
            <w:r>
              <w:t>Доверенность на представителя - физическое лицо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п</w:t>
            </w:r>
            <w:proofErr w:type="gramEnd"/>
            <w:r>
              <w:t>редставляется в случае участия через представителя)</w:t>
            </w:r>
          </w:p>
          <w:p>
            <w:pPr>
              <w:jc w:val="both"/>
            </w:pP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4</w:t>
            </w:r>
          </w:p>
        </w:tc>
        <w:tc>
          <w:tcPr>
            <w:tcW w:w="5563" w:type="dxa"/>
          </w:tcPr>
          <w:p>
            <w:pPr>
              <w:jc w:val="both"/>
            </w:pPr>
            <w:r>
              <w:t xml:space="preserve">Заявление об отсутствии решения арбитражного суда о признании заявителя - индивидуального предпринимателя банкротом и об открытии конкурсного производства, об отсутствии решений о приостановлении деятельности заявителя в порядке, предусмотренном </w:t>
            </w:r>
            <w:hyperlink r:id="rId26" w:history="1">
              <w:r>
                <w:rPr>
                  <w:rStyle w:val="af5"/>
                  <w:color w:val="auto"/>
                  <w:u w:val="none"/>
                </w:rPr>
                <w:t>Кодексом Российской Федерации об административных правонарушениях</w:t>
              </w:r>
            </w:hyperlink>
            <w:r>
              <w:t xml:space="preserve"> </w:t>
            </w: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5</w:t>
            </w:r>
          </w:p>
        </w:tc>
        <w:tc>
          <w:tcPr>
            <w:tcW w:w="5563" w:type="dxa"/>
          </w:tcPr>
          <w:p>
            <w:pPr>
              <w:pStyle w:val="formattexttopleveltext"/>
              <w:spacing w:before="0" w:beforeAutospacing="0" w:after="0" w:afterAutospacing="0"/>
              <w:jc w:val="both"/>
            </w:pPr>
            <w:r>
              <w:t xml:space="preserve">Платежное поручение (квитанции), подтверждающее внесение задатка по заявленному лоту. </w:t>
            </w: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6</w:t>
            </w:r>
          </w:p>
        </w:tc>
        <w:tc>
          <w:tcPr>
            <w:tcW w:w="5563" w:type="dxa"/>
          </w:tcPr>
          <w:p>
            <w:pPr>
              <w:pStyle w:val="formattexttopleveltext"/>
              <w:spacing w:before="0" w:beforeAutospacing="0" w:after="0" w:afterAutospacing="0"/>
              <w:jc w:val="both"/>
            </w:pPr>
            <w:r>
              <w:t xml:space="preserve">Опись представленных документов в 2 (двух) экземплярах </w:t>
            </w:r>
          </w:p>
        </w:tc>
        <w:tc>
          <w:tcPr>
            <w:tcW w:w="3191" w:type="dxa"/>
          </w:tcPr>
          <w:p/>
        </w:tc>
      </w:tr>
    </w:tbl>
    <w:p/>
    <w:p>
      <w:r>
        <w:t>________________________                                              ________________________________</w:t>
      </w:r>
    </w:p>
    <w:p>
      <w:r>
        <w:t xml:space="preserve">Дата                                                                                                                   подпись </w:t>
      </w:r>
    </w:p>
    <w:p/>
    <w:p/>
    <w:p/>
    <w:p/>
    <w:p/>
    <w:p/>
    <w:p/>
    <w:p/>
    <w:p/>
    <w:p/>
    <w:p/>
    <w:p/>
    <w:p/>
    <w:p/>
    <w:p/>
    <w:p/>
    <w:p/>
    <w:p/>
    <w:p>
      <w:pPr>
        <w:shd w:val="clear" w:color="auto" w:fill="FFFFFF"/>
        <w:jc w:val="center"/>
      </w:pPr>
    </w:p>
    <w:p>
      <w:pPr>
        <w:shd w:val="clear" w:color="auto" w:fill="FFFFFF"/>
        <w:jc w:val="center"/>
      </w:pPr>
    </w:p>
    <w:p>
      <w:pPr>
        <w:shd w:val="clear" w:color="auto" w:fill="FFFFFF"/>
        <w:jc w:val="center"/>
      </w:pPr>
      <w:r>
        <w:t xml:space="preserve">Форма описи представленных документов </w:t>
      </w:r>
    </w:p>
    <w:p>
      <w:pPr>
        <w:pStyle w:val="afd"/>
        <w:ind w:left="786"/>
        <w:jc w:val="both"/>
      </w:pPr>
      <w:r>
        <w:t>_________________________________________________________________</w:t>
      </w:r>
    </w:p>
    <w:p>
      <w:pPr>
        <w:pStyle w:val="afd"/>
        <w:ind w:left="786"/>
        <w:jc w:val="both"/>
      </w:pPr>
      <w:r>
        <w:t>(для юр. лиц)</w:t>
      </w:r>
    </w:p>
    <w:p>
      <w:pPr>
        <w:pStyle w:val="afd"/>
        <w:ind w:left="786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>
        <w:tc>
          <w:tcPr>
            <w:tcW w:w="817" w:type="dxa"/>
          </w:tcPr>
          <w:p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563" w:type="dxa"/>
          </w:tcPr>
          <w:p>
            <w:pPr>
              <w:pStyle w:val="afd"/>
              <w:ind w:left="786"/>
              <w:jc w:val="both"/>
            </w:pPr>
            <w:r>
              <w:t>Наименование</w:t>
            </w:r>
          </w:p>
        </w:tc>
        <w:tc>
          <w:tcPr>
            <w:tcW w:w="3191" w:type="dxa"/>
          </w:tcPr>
          <w:p>
            <w:r>
              <w:t xml:space="preserve">Количество листов (с указанием оригинал, копия, </w:t>
            </w:r>
            <w:proofErr w:type="spellStart"/>
            <w:r>
              <w:t>нотар</w:t>
            </w:r>
            <w:proofErr w:type="spellEnd"/>
            <w:r>
              <w:t>. заверенная копия)</w:t>
            </w:r>
          </w:p>
        </w:tc>
      </w:tr>
      <w:tr>
        <w:tc>
          <w:tcPr>
            <w:tcW w:w="817" w:type="dxa"/>
          </w:tcPr>
          <w:p>
            <w:r>
              <w:t>1</w:t>
            </w:r>
          </w:p>
        </w:tc>
        <w:tc>
          <w:tcPr>
            <w:tcW w:w="5563" w:type="dxa"/>
          </w:tcPr>
          <w:p>
            <w:pPr>
              <w:jc w:val="both"/>
            </w:pPr>
            <w:r>
              <w:t>Заявка установленного образца</w:t>
            </w:r>
          </w:p>
          <w:p>
            <w:pPr>
              <w:jc w:val="both"/>
              <w:rPr>
                <w:u w:val="single"/>
              </w:rPr>
            </w:pP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2</w:t>
            </w:r>
          </w:p>
        </w:tc>
        <w:tc>
          <w:tcPr>
            <w:tcW w:w="5563" w:type="dxa"/>
          </w:tcPr>
          <w:p>
            <w:pPr>
              <w:jc w:val="both"/>
              <w:rPr>
                <w:u w:val="single"/>
              </w:rPr>
            </w:pPr>
            <w:r>
              <w:t>Свидетельство о государственной регистрации юридического лица (копия)</w:t>
            </w:r>
          </w:p>
          <w:p>
            <w:pPr>
              <w:pStyle w:val="afd"/>
              <w:ind w:left="786"/>
              <w:jc w:val="both"/>
            </w:pP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3</w:t>
            </w:r>
          </w:p>
        </w:tc>
        <w:tc>
          <w:tcPr>
            <w:tcW w:w="5563" w:type="dxa"/>
          </w:tcPr>
          <w:p>
            <w:pPr>
              <w:jc w:val="both"/>
            </w:pPr>
            <w:r>
              <w:t>Доверенность на представителя - физическое лицо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п</w:t>
            </w:r>
            <w:proofErr w:type="gramEnd"/>
            <w:r>
              <w:t>редставляется в случае участия через представителя)</w:t>
            </w:r>
          </w:p>
          <w:p>
            <w:pPr>
              <w:jc w:val="both"/>
            </w:pP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4</w:t>
            </w:r>
          </w:p>
        </w:tc>
        <w:tc>
          <w:tcPr>
            <w:tcW w:w="5563" w:type="dxa"/>
          </w:tcPr>
          <w:p>
            <w:pPr>
              <w:jc w:val="both"/>
            </w:pPr>
            <w:r>
              <w:t xml:space="preserve">Заверенные копии учредительных документов </w:t>
            </w:r>
          </w:p>
          <w:p>
            <w:pPr>
              <w:jc w:val="both"/>
            </w:pP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5</w:t>
            </w:r>
          </w:p>
        </w:tc>
        <w:tc>
          <w:tcPr>
            <w:tcW w:w="5563" w:type="dxa"/>
          </w:tcPr>
          <w:p>
            <w:pPr>
              <w:jc w:val="both"/>
            </w:pPr>
            <w:r>
              <w:t>Решение об одобрении крупной сделки (в случае необходимости)</w:t>
            </w:r>
          </w:p>
          <w:p>
            <w:pPr>
              <w:jc w:val="both"/>
            </w:pP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6</w:t>
            </w:r>
          </w:p>
        </w:tc>
        <w:tc>
          <w:tcPr>
            <w:tcW w:w="5563" w:type="dxa"/>
          </w:tcPr>
          <w:p>
            <w:pPr>
              <w:jc w:val="both"/>
            </w:pPr>
            <w:r>
              <w:t xml:space="preserve">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банкротом и об открытии конкурсного производства, об отсутствии решений о приостановлении деятельности заявителя в порядке, предусмотренном </w:t>
            </w:r>
            <w:hyperlink r:id="rId27" w:history="1">
              <w:r>
                <w:t>Кодексом Российской Федерации об административных правонарушениях</w:t>
              </w:r>
            </w:hyperlink>
            <w:r>
              <w:t xml:space="preserve"> </w:t>
            </w: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6</w:t>
            </w:r>
          </w:p>
        </w:tc>
        <w:tc>
          <w:tcPr>
            <w:tcW w:w="5563" w:type="dxa"/>
          </w:tcPr>
          <w:p>
            <w:pPr>
              <w:pStyle w:val="formattexttopleveltext"/>
              <w:spacing w:before="0" w:beforeAutospacing="0" w:after="0" w:afterAutospacing="0"/>
              <w:jc w:val="both"/>
            </w:pPr>
            <w:r>
              <w:t xml:space="preserve">Платежное поручение (квитанции), подтверждающее внесение задатка по заявленному лоту. </w:t>
            </w:r>
          </w:p>
        </w:tc>
        <w:tc>
          <w:tcPr>
            <w:tcW w:w="3191" w:type="dxa"/>
          </w:tcPr>
          <w:p/>
        </w:tc>
      </w:tr>
      <w:tr>
        <w:tc>
          <w:tcPr>
            <w:tcW w:w="817" w:type="dxa"/>
          </w:tcPr>
          <w:p>
            <w:r>
              <w:t>7</w:t>
            </w:r>
          </w:p>
        </w:tc>
        <w:tc>
          <w:tcPr>
            <w:tcW w:w="5563" w:type="dxa"/>
          </w:tcPr>
          <w:p>
            <w:pPr>
              <w:pStyle w:val="formattexttopleveltext"/>
              <w:spacing w:before="0" w:beforeAutospacing="0" w:after="0" w:afterAutospacing="0"/>
              <w:jc w:val="both"/>
            </w:pPr>
            <w:r>
              <w:t xml:space="preserve">Опись представленных документов в 2 (двух) экземплярах </w:t>
            </w:r>
          </w:p>
        </w:tc>
        <w:tc>
          <w:tcPr>
            <w:tcW w:w="3191" w:type="dxa"/>
          </w:tcPr>
          <w:p/>
        </w:tc>
      </w:tr>
    </w:tbl>
    <w:p/>
    <w:p>
      <w:r>
        <w:t>________________________                                               ________________________________</w:t>
      </w:r>
    </w:p>
    <w:p>
      <w:r>
        <w:t xml:space="preserve">Дата                                                                                                                   подпись </w:t>
      </w:r>
    </w:p>
    <w:p/>
    <w:p/>
    <w:p/>
    <w:p/>
    <w:p/>
    <w:p/>
    <w:p/>
    <w:p/>
    <w:p/>
    <w:p/>
    <w:p/>
    <w:p/>
    <w:p/>
    <w:p>
      <w:pPr>
        <w:shd w:val="clear" w:color="auto" w:fill="FFFFFF"/>
      </w:pPr>
    </w:p>
    <w:p>
      <w:pPr>
        <w:shd w:val="clear" w:color="auto" w:fill="FFFFFF"/>
        <w:sectPr>
          <w:pgSz w:w="11909" w:h="16834"/>
          <w:pgMar w:top="709" w:right="567" w:bottom="1134" w:left="1134" w:header="720" w:footer="720" w:gutter="0"/>
          <w:cols w:space="60"/>
          <w:noEndnote/>
          <w:titlePg/>
          <w:docGrid w:linePitch="326"/>
        </w:sect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Схемы размещения елочных базаров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Альметьевск, ул</w:t>
      </w:r>
      <w:proofErr w:type="gramStart"/>
      <w:r>
        <w:rPr>
          <w:b/>
          <w:sz w:val="28"/>
          <w:szCs w:val="28"/>
        </w:rPr>
        <w:t>.Л</w:t>
      </w:r>
      <w:proofErr w:type="gramEnd"/>
      <w:r>
        <w:rPr>
          <w:b/>
          <w:sz w:val="28"/>
          <w:szCs w:val="28"/>
        </w:rPr>
        <w:t>енина,д.128, с торца магазина «Спортмастер»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89073" cy="3647209"/>
            <wp:effectExtent l="0" t="0" r="698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8"/>
                    <a:srcRect l="32372" t="13968" b="7070"/>
                    <a:stretch/>
                  </pic:blipFill>
                  <pic:spPr bwMode="auto">
                    <a:xfrm>
                      <a:off x="0" y="0"/>
                      <a:ext cx="6095059" cy="365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ул. Советская, д.147/1, прилегающая территория магазина «Овощи и фрукты»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69528" cy="3503470"/>
            <wp:effectExtent l="0" t="0" r="0" b="1905"/>
            <wp:docPr id="14" name="Рисунок 14" descr="C:\Users\admin\Downloads\советская 1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советская 147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67" cy="35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</w:t>
      </w:r>
      <w:proofErr w:type="spellStart"/>
      <w:r>
        <w:rPr>
          <w:b/>
          <w:sz w:val="28"/>
          <w:szCs w:val="28"/>
        </w:rPr>
        <w:t>мкр</w:t>
      </w:r>
      <w:proofErr w:type="spellEnd"/>
      <w:r>
        <w:rPr>
          <w:b/>
          <w:sz w:val="28"/>
          <w:szCs w:val="28"/>
        </w:rPr>
        <w:t>. «</w:t>
      </w:r>
      <w:proofErr w:type="spellStart"/>
      <w:r>
        <w:rPr>
          <w:b/>
          <w:sz w:val="28"/>
          <w:szCs w:val="28"/>
        </w:rPr>
        <w:t>Урсала</w:t>
      </w:r>
      <w:proofErr w:type="spellEnd"/>
      <w:r>
        <w:rPr>
          <w:b/>
          <w:sz w:val="28"/>
          <w:szCs w:val="28"/>
        </w:rPr>
        <w:t xml:space="preserve">»,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ул. Первомайская, д.70, прилегающая территория магазина «</w:t>
      </w:r>
      <w:proofErr w:type="spellStart"/>
      <w:r>
        <w:rPr>
          <w:b/>
          <w:sz w:val="28"/>
          <w:szCs w:val="28"/>
        </w:rPr>
        <w:t>Салям</w:t>
      </w:r>
      <w:proofErr w:type="spellEnd"/>
      <w:r>
        <w:rPr>
          <w:b/>
          <w:sz w:val="28"/>
          <w:szCs w:val="28"/>
        </w:rPr>
        <w:t>»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25391" cy="3661423"/>
            <wp:effectExtent l="0" t="0" r="8890" b="0"/>
            <wp:docPr id="20" name="Рисунок 20" descr="C:\Users\admin\Downloads\Урсала первомайская 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Урсала первомайская 70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26" cy="366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</w:t>
      </w:r>
      <w:proofErr w:type="gramStart"/>
      <w:r>
        <w:rPr>
          <w:b/>
          <w:sz w:val="28"/>
          <w:szCs w:val="28"/>
        </w:rPr>
        <w:t>.Т</w:t>
      </w:r>
      <w:proofErr w:type="gramEnd"/>
      <w:r>
        <w:rPr>
          <w:b/>
          <w:sz w:val="28"/>
          <w:szCs w:val="28"/>
        </w:rPr>
        <w:t>ельмана,д.43, прилегающая территория магазина «</w:t>
      </w:r>
      <w:proofErr w:type="spellStart"/>
      <w:r>
        <w:rPr>
          <w:b/>
          <w:sz w:val="28"/>
          <w:szCs w:val="28"/>
        </w:rPr>
        <w:t>Агроплюс</w:t>
      </w:r>
      <w:proofErr w:type="spellEnd"/>
      <w:r>
        <w:rPr>
          <w:b/>
          <w:sz w:val="28"/>
          <w:szCs w:val="28"/>
        </w:rPr>
        <w:t>»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05319" cy="3728843"/>
            <wp:effectExtent l="0" t="0" r="635" b="5080"/>
            <wp:docPr id="21" name="Рисунок 21" descr="C:\Users\admin\Downloads\Тельмана 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Тельмана 43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80" cy="373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ул. Советская, д.81А, прилегающая территория с торца дома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3167" cy="3933036"/>
            <wp:effectExtent l="0" t="0" r="7620" b="0"/>
            <wp:docPr id="22" name="Рисунок 22" descr="C:\Users\admin\Downloads\Советская 8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Советская 81 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37" cy="393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Альметьевск,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ул. Белоглазова, д.50, с торца дома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12427" cy="3747793"/>
            <wp:effectExtent l="0" t="0" r="0" b="5080"/>
            <wp:docPr id="23" name="Рисунок 23" descr="C:\Users\admin\Downloads\Белоглазова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Белоглазова 5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85" cy="374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Альметьевск, пр. Строителей, д.35, с торца магазина «Магнит»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30637" cy="4044570"/>
            <wp:effectExtent l="0" t="0" r="3810" b="0"/>
            <wp:docPr id="24" name="Рисунок 24" descr="C:\Users\admin\Downloads\Строителей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Строителей 3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66" cy="404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ул. Герцена, д.94б, напротив магазина «Пятерочка»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85035" cy="3644742"/>
            <wp:effectExtent l="0" t="0" r="0" b="0"/>
            <wp:docPr id="25" name="Рисунок 25" descr="C:\Users\admin\Downloads\Герцена 9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Герцена 94б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70" cy="36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Альметьевск, ул. Нефтяников, д.17а,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прилегающая территория магазина «</w:t>
      </w:r>
      <w:proofErr w:type="spellStart"/>
      <w:r>
        <w:rPr>
          <w:b/>
          <w:sz w:val="28"/>
          <w:szCs w:val="28"/>
        </w:rPr>
        <w:t>Черновъ</w:t>
      </w:r>
      <w:proofErr w:type="spellEnd"/>
      <w:r>
        <w:rPr>
          <w:b/>
          <w:sz w:val="28"/>
          <w:szCs w:val="28"/>
        </w:rPr>
        <w:t>»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608618" cy="3942343"/>
            <wp:effectExtent l="0" t="0" r="1905" b="1270"/>
            <wp:docPr id="26" name="Рисунок 26" descr="C:\Users\admin\Downloads\Нефтяников 1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Нефтяников 17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19" cy="39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ул. Г. Тукая, д.35,прилегающая территория магазина «</w:t>
      </w:r>
      <w:proofErr w:type="spellStart"/>
      <w:r>
        <w:rPr>
          <w:b/>
          <w:sz w:val="28"/>
          <w:szCs w:val="28"/>
        </w:rPr>
        <w:t>Тэмле</w:t>
      </w:r>
      <w:proofErr w:type="spellEnd"/>
      <w:r>
        <w:rPr>
          <w:b/>
          <w:sz w:val="28"/>
          <w:szCs w:val="28"/>
        </w:rPr>
        <w:t>»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47509" cy="3626428"/>
            <wp:effectExtent l="0" t="0" r="0" b="0"/>
            <wp:docPr id="27" name="Рисунок 27" descr="C:\Users\admin\Downloads\Тукая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Тукая 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02" cy="362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ул. М. </w:t>
      </w:r>
      <w:proofErr w:type="spellStart"/>
      <w:r>
        <w:rPr>
          <w:b/>
          <w:sz w:val="28"/>
          <w:szCs w:val="28"/>
        </w:rPr>
        <w:t>Джалиля</w:t>
      </w:r>
      <w:proofErr w:type="spellEnd"/>
      <w:r>
        <w:rPr>
          <w:b/>
          <w:sz w:val="28"/>
          <w:szCs w:val="28"/>
        </w:rPr>
        <w:t xml:space="preserve">, д.19,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прилегающая территория с торца дома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55327" cy="3961277"/>
            <wp:effectExtent l="0" t="0" r="0" b="1270"/>
            <wp:docPr id="28" name="Рисунок 28" descr="C:\Users\admin\Downloads\джалиля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джалиля 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08" cy="396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ул. Чернышевского, д.40б,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прилегающая территория магазина «Овощи-фрукты»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41027" cy="3943428"/>
            <wp:effectExtent l="0" t="0" r="0" b="0"/>
            <wp:docPr id="29" name="Рисунок 29" descr="C:\Users\admin\Downloads\Чернышевского д40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Чернышевского д40б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84" cy="39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Альметьевск, ул. Объездная, д.37, прилегающая территория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1417" cy="4012809"/>
            <wp:effectExtent l="0" t="0" r="1905" b="6985"/>
            <wp:docPr id="30" name="Рисунок 30" descr="C:\Users\admin\Downloads\Объездная 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Объездная д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1" cy="40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ул. </w:t>
      </w:r>
      <w:proofErr w:type="spellStart"/>
      <w:r>
        <w:rPr>
          <w:b/>
          <w:sz w:val="28"/>
          <w:szCs w:val="28"/>
        </w:rPr>
        <w:t>Р.Фахретдина</w:t>
      </w:r>
      <w:proofErr w:type="spellEnd"/>
      <w:r>
        <w:rPr>
          <w:b/>
          <w:sz w:val="28"/>
          <w:szCs w:val="28"/>
        </w:rPr>
        <w:t xml:space="preserve">, д.27,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прилегающая территория магазина «</w:t>
      </w:r>
      <w:proofErr w:type="spellStart"/>
      <w:r>
        <w:rPr>
          <w:b/>
          <w:sz w:val="28"/>
          <w:szCs w:val="28"/>
        </w:rPr>
        <w:t>Домо</w:t>
      </w:r>
      <w:proofErr w:type="spellEnd"/>
      <w:r>
        <w:rPr>
          <w:b/>
          <w:sz w:val="28"/>
          <w:szCs w:val="28"/>
        </w:rPr>
        <w:t>»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13366" cy="3613095"/>
            <wp:effectExtent l="0" t="0" r="1905" b="6985"/>
            <wp:docPr id="33" name="Рисунок 33" descr="C:\Users\admin\Downloads\Фахретдина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Фахретдина 2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07" cy="36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ул. Пугачева, д.22б,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прилегающая территория магазина «Люкс»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65718" cy="3978289"/>
            <wp:effectExtent l="0" t="0" r="1905" b="3175"/>
            <wp:docPr id="34" name="Рисунок 34" descr="C:\Users\admin\Downloads\Пугачева д2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Пугачева д22б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64" cy="39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ул. Ленина, д.95,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прилегающая территория с торца дома</w:t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50552" cy="3429000"/>
            <wp:effectExtent l="0" t="0" r="0" b="0"/>
            <wp:docPr id="35" name="Рисунок 35" descr="C:\Users\admin\Downloads\Ленина д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Ленина д9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37" cy="34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Альметьевск, напротив </w:t>
      </w: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ул. Строителей д.45,с торца дома</w:t>
      </w:r>
      <w:bookmarkStart w:id="1" w:name="_GoBack"/>
      <w:bookmarkEnd w:id="1"/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1418" cy="4291446"/>
            <wp:effectExtent l="0" t="0" r="1905" b="0"/>
            <wp:docPr id="36" name="Рисунок 36" descr="C:\Users\admin\Downloads\Строителей 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Строителей 35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18" cy="42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shd w:val="clear" w:color="auto" w:fill="FFFFFF"/>
        <w:jc w:val="center"/>
        <w:rPr>
          <w:b/>
          <w:sz w:val="28"/>
          <w:szCs w:val="28"/>
        </w:rPr>
      </w:pPr>
    </w:p>
    <w:p>
      <w:pPr>
        <w:pStyle w:val="1"/>
        <w:jc w:val="left"/>
        <w:rPr>
          <w:rFonts w:ascii="Times New Roman" w:hAnsi="Times New Roman"/>
          <w:b w:val="0"/>
          <w:color w:val="auto"/>
          <w:sz w:val="28"/>
          <w:szCs w:val="28"/>
        </w:rPr>
      </w:pPr>
    </w:p>
    <w:p>
      <w:pPr>
        <w:pStyle w:val="1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Требование</w:t>
      </w:r>
      <w:r>
        <w:rPr>
          <w:rFonts w:ascii="Times New Roman" w:hAnsi="Times New Roman"/>
          <w:b w:val="0"/>
          <w:color w:val="auto"/>
          <w:sz w:val="24"/>
          <w:szCs w:val="24"/>
        </w:rPr>
        <w:br/>
        <w:t>к типовым проектам нестационарных торговых объектов и объектов по оказанию услуг и передвижным сооружениям на территории г.</w:t>
      </w:r>
      <w:r>
        <w:rPr>
          <w:rFonts w:ascii="Times New Roman" w:hAnsi="Times New Roman"/>
          <w:color w:val="auto"/>
          <w:sz w:val="24"/>
          <w:szCs w:val="24"/>
        </w:rPr>
        <w:t> </w:t>
      </w:r>
      <w:r>
        <w:rPr>
          <w:rStyle w:val="afc"/>
          <w:rFonts w:ascii="Times New Roman" w:hAnsi="Times New Roman"/>
          <w:color w:val="auto"/>
          <w:sz w:val="24"/>
          <w:szCs w:val="24"/>
        </w:rPr>
        <w:t>Альметьевска</w:t>
      </w:r>
    </w:p>
    <w:p>
      <w:pPr>
        <w:jc w:val="both"/>
      </w:pPr>
    </w:p>
    <w:p>
      <w:pPr>
        <w:ind w:firstLine="708"/>
        <w:jc w:val="both"/>
        <w:rPr>
          <w:rStyle w:val="afc"/>
          <w:b w:val="0"/>
          <w:bCs w:val="0"/>
          <w:sz w:val="24"/>
          <w:szCs w:val="24"/>
        </w:rPr>
      </w:pPr>
      <w:r>
        <w:t xml:space="preserve">Размещение нестационарных торговых объектов и объектов по оказанию услуг и передвижных сооружений осуществляется в местах, определенных </w:t>
      </w:r>
      <w:hyperlink r:id="rId44" w:history="1">
        <w:r>
          <w:rPr>
            <w:rStyle w:val="ab"/>
            <w:sz w:val="24"/>
            <w:szCs w:val="24"/>
          </w:rPr>
          <w:t>Схемой</w:t>
        </w:r>
      </w:hyperlink>
      <w:r>
        <w:t xml:space="preserve"> размещения нестационарных торговых объектов и объектов по оказанию услуг на территории г. </w:t>
      </w:r>
      <w:r>
        <w:rPr>
          <w:rStyle w:val="afc"/>
          <w:b w:val="0"/>
          <w:bCs w:val="0"/>
          <w:color w:val="auto"/>
          <w:sz w:val="24"/>
          <w:szCs w:val="24"/>
        </w:rPr>
        <w:t>Альметьевска.</w:t>
      </w:r>
    </w:p>
    <w:p>
      <w:pPr>
        <w:ind w:firstLine="708"/>
        <w:jc w:val="both"/>
      </w:pPr>
      <w:r>
        <w:t>Объекты необходимо устанавливать на твердые виды покрытия, их техническая оснащенность должна отвечать санитарным, противопожарным, экологическим правилам, правилам продажи отдельных видов товаров, должны соответствовать требованиям безопасности для жизни и здоровья людей, условиям приема, хранения и реализации товара, а также обеспечивать условия труда и правила личной гигиены работников.</w:t>
      </w:r>
    </w:p>
    <w:p>
      <w:pPr>
        <w:ind w:firstLine="708"/>
        <w:jc w:val="both"/>
      </w:pPr>
      <w:r>
        <w:t>При размещении нестационарных торговых объектов, объектов по оказанию услуг и передвижных сооружений не допускается капитальный стационарный характер, устройство капитальных подиумов и устройство, наносящее ущерб мощению и иным элементам благоустройства прилегающей территории.</w:t>
      </w:r>
    </w:p>
    <w:p>
      <w:pPr>
        <w:ind w:firstLine="708"/>
        <w:jc w:val="both"/>
      </w:pPr>
      <w:r>
        <w:t xml:space="preserve">Благоустройство, озеленение и содержание прилегающей территории, размещение урн и туалетов (биотуалетов) у временных конструкций и передвижных сооружений осуществляются в соответствии с </w:t>
      </w:r>
      <w:hyperlink r:id="rId45" w:history="1">
        <w:r>
          <w:rPr>
            <w:rStyle w:val="ab"/>
            <w:sz w:val="24"/>
            <w:szCs w:val="24"/>
          </w:rPr>
          <w:t>Правилами</w:t>
        </w:r>
      </w:hyperlink>
      <w:r>
        <w:t xml:space="preserve"> благоустройства и содержания территории в г. </w:t>
      </w:r>
      <w:r>
        <w:rPr>
          <w:rStyle w:val="afc"/>
          <w:b w:val="0"/>
          <w:bCs w:val="0"/>
          <w:sz w:val="24"/>
          <w:szCs w:val="24"/>
        </w:rPr>
        <w:t>Альметьевска</w:t>
      </w:r>
      <w:r>
        <w:t>.</w:t>
      </w:r>
    </w:p>
    <w:p>
      <w:pPr>
        <w:jc w:val="both"/>
      </w:pPr>
      <w:r>
        <w:t>Местонахождение нестационарных торговых объектов и объектов по оказанию услуг и передвижных сооружений не должно:</w:t>
      </w:r>
    </w:p>
    <w:p>
      <w:pPr>
        <w:jc w:val="both"/>
      </w:pPr>
      <w:r>
        <w:t>- препятствовать свободному перемещению пешеходов и транспорта;</w:t>
      </w:r>
    </w:p>
    <w:p>
      <w:pPr>
        <w:jc w:val="both"/>
      </w:pPr>
      <w:r>
        <w:t>- ограничивать видимость для участников дорожного движения;</w:t>
      </w:r>
    </w:p>
    <w:p>
      <w:pPr>
        <w:jc w:val="both"/>
      </w:pPr>
      <w:r>
        <w:t>- создавать угрозу жизни и здоровью людей, окружающей среде, а также пожарной безопасности имущества;</w:t>
      </w:r>
    </w:p>
    <w:p>
      <w:pPr>
        <w:jc w:val="both"/>
      </w:pPr>
      <w:r>
        <w:t>- нарушать сложившуюся эстетическую среду, архитектурный облик города.</w:t>
      </w:r>
    </w:p>
    <w:sectPr>
      <w:pgSz w:w="11909" w:h="16834"/>
      <w:pgMar w:top="709" w:right="567" w:bottom="1134" w:left="1134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e"/>
      <w:ind w:right="-31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c"/>
    </w:pPr>
  </w:p>
  <w:p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c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c"/>
      <w:jc w:val="center"/>
    </w:pPr>
    <w: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3778"/>
    <w:multiLevelType w:val="multilevel"/>
    <w:tmpl w:val="782A4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8107C"/>
    <w:multiLevelType w:val="hybridMultilevel"/>
    <w:tmpl w:val="227679B0"/>
    <w:lvl w:ilvl="0" w:tplc="4510F2EE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3E74A8"/>
    <w:multiLevelType w:val="multilevel"/>
    <w:tmpl w:val="5E287A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1A0C787A"/>
    <w:multiLevelType w:val="hybridMultilevel"/>
    <w:tmpl w:val="AF28F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B1CFD"/>
    <w:multiLevelType w:val="multilevel"/>
    <w:tmpl w:val="8456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3230DF"/>
    <w:multiLevelType w:val="singleLevel"/>
    <w:tmpl w:val="B3BCE916"/>
    <w:lvl w:ilvl="0">
      <w:start w:val="1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  <w:b w:val="0"/>
      </w:rPr>
    </w:lvl>
  </w:abstractNum>
  <w:abstractNum w:abstractNumId="6">
    <w:nsid w:val="3DE9530C"/>
    <w:multiLevelType w:val="hybridMultilevel"/>
    <w:tmpl w:val="11184C66"/>
    <w:lvl w:ilvl="0" w:tplc="34DC4B3E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DC4B3E">
      <w:start w:val="1"/>
      <w:numFmt w:val="decimal"/>
      <w:lvlText w:val="5.%2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ED3C07"/>
    <w:multiLevelType w:val="singleLevel"/>
    <w:tmpl w:val="E6783146"/>
    <w:lvl w:ilvl="0">
      <w:start w:val="1"/>
      <w:numFmt w:val="decimal"/>
      <w:lvlText w:val="4.%1."/>
      <w:legacy w:legacy="1" w:legacySpace="0" w:legacyIndent="410"/>
      <w:lvlJc w:val="left"/>
      <w:rPr>
        <w:rFonts w:ascii="Times New Roman" w:hAnsi="Times New Roman" w:cs="Times New Roman" w:hint="default"/>
        <w:b w:val="0"/>
        <w:color w:val="auto"/>
      </w:rPr>
    </w:lvl>
  </w:abstractNum>
  <w:abstractNum w:abstractNumId="8">
    <w:nsid w:val="543121FE"/>
    <w:multiLevelType w:val="multilevel"/>
    <w:tmpl w:val="AD427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FE7F0C"/>
    <w:multiLevelType w:val="hybridMultilevel"/>
    <w:tmpl w:val="2592AE46"/>
    <w:lvl w:ilvl="0" w:tplc="E0524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02157D"/>
    <w:multiLevelType w:val="hybridMultilevel"/>
    <w:tmpl w:val="A55C3ED0"/>
    <w:lvl w:ilvl="0" w:tplc="F3C0BD38">
      <w:start w:val="1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semiHidden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21">
    <w:name w:val="Знак2 Знак Знак Знак1 Знак Знак 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3">
    <w:name w:val="Заголовок статьи"/>
    <w:basedOn w:val="a"/>
    <w:next w:val="a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4">
    <w:name w:val="Комментарий"/>
    <w:basedOn w:val="a"/>
    <w:next w:val="a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table" w:styleId="a5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Таблицы (моноширинный)"/>
    <w:basedOn w:val="a"/>
    <w:next w:val="a"/>
    <w:uiPriority w:val="99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rPr>
      <w:vertAlign w:val="superscript"/>
    </w:rPr>
  </w:style>
  <w:style w:type="paragraph" w:customStyle="1" w:styleId="aa">
    <w:name w:val="Основное меню"/>
    <w:basedOn w:val="a"/>
    <w:next w:val="a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b">
    <w:name w:val="Гипертекстовая ссылка"/>
    <w:uiPriority w:val="99"/>
    <w:rPr>
      <w:color w:val="008000"/>
      <w:sz w:val="20"/>
      <w:szCs w:val="20"/>
      <w:u w:val="single"/>
    </w:rPr>
  </w:style>
  <w:style w:type="paragraph" w:customStyle="1" w:styleId="Heading">
    <w:name w:val="Heading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footer"/>
    <w:basedOn w:val="a"/>
    <w:link w:val="a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2">
    <w:name w:val="Body Text 2"/>
    <w:basedOn w:val="a"/>
    <w:link w:val="23"/>
    <w:pPr>
      <w:widowControl w:val="0"/>
      <w:autoSpaceDE w:val="0"/>
      <w:autoSpaceDN w:val="0"/>
      <w:adjustRightInd w:val="0"/>
      <w:spacing w:after="120" w:line="480" w:lineRule="auto"/>
    </w:pPr>
    <w:rPr>
      <w:rFonts w:ascii="Arial" w:hAnsi="Arial" w:cs="Arial"/>
      <w:sz w:val="18"/>
      <w:szCs w:val="18"/>
    </w:rPr>
  </w:style>
  <w:style w:type="character" w:customStyle="1" w:styleId="23">
    <w:name w:val="Основной текст 2 Знак"/>
    <w:basedOn w:val="a0"/>
    <w:link w:val="22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ConsPlusNormal">
    <w:name w:val="ConsPlusNormal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page number"/>
    <w:basedOn w:val="a0"/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Title"/>
    <w:basedOn w:val="a"/>
    <w:link w:val="af2"/>
    <w:qFormat/>
    <w:pPr>
      <w:jc w:val="center"/>
    </w:pPr>
    <w:rPr>
      <w:rFonts w:ascii="Arial" w:hAnsi="Arial" w:cs="Arial"/>
      <w:sz w:val="28"/>
      <w:szCs w:val="28"/>
    </w:rPr>
  </w:style>
  <w:style w:type="character" w:customStyle="1" w:styleId="af2">
    <w:name w:val="Название Знак"/>
    <w:basedOn w:val="a0"/>
    <w:link w:val="af1"/>
    <w:rPr>
      <w:rFonts w:ascii="Arial" w:eastAsia="Times New Roman" w:hAnsi="Arial" w:cs="Arial"/>
      <w:sz w:val="28"/>
      <w:szCs w:val="28"/>
      <w:lang w:eastAsia="ru-RU"/>
    </w:rPr>
  </w:style>
  <w:style w:type="paragraph" w:styleId="af3">
    <w:name w:val="Balloon Text"/>
    <w:basedOn w:val="a"/>
    <w:link w:val="af4"/>
    <w:semiHidden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Pr>
      <w:rFonts w:ascii="Tahoma" w:eastAsia="Times New Roman" w:hAnsi="Tahoma" w:cs="Tahoma"/>
      <w:sz w:val="16"/>
      <w:szCs w:val="16"/>
      <w:lang w:eastAsia="ru-RU"/>
    </w:rPr>
  </w:style>
  <w:style w:type="character" w:styleId="af5">
    <w:name w:val="Hyperlink"/>
    <w:rPr>
      <w:color w:val="0000FF"/>
      <w:u w:val="single"/>
    </w:rPr>
  </w:style>
  <w:style w:type="character" w:styleId="af6">
    <w:name w:val="FollowedHyperlink"/>
    <w:rPr>
      <w:color w:val="800080"/>
      <w:u w:val="single"/>
    </w:rPr>
  </w:style>
  <w:style w:type="paragraph" w:styleId="af7">
    <w:name w:val="Body Text"/>
    <w:basedOn w:val="a"/>
    <w:link w:val="af8"/>
    <w:pPr>
      <w:spacing w:after="120"/>
    </w:pPr>
    <w:rPr>
      <w:lang w:val="x-none" w:eastAsia="x-none"/>
    </w:rPr>
  </w:style>
  <w:style w:type="character" w:customStyle="1" w:styleId="af8">
    <w:name w:val="Основной текст Знак"/>
    <w:basedOn w:val="a0"/>
    <w:link w:val="a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9">
    <w:name w:val="line number"/>
    <w:basedOn w:val="a0"/>
  </w:style>
  <w:style w:type="paragraph" w:styleId="afa">
    <w:name w:val="No Spacing"/>
    <w:link w:val="afb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c">
    <w:name w:val="Цветовое выделение"/>
    <w:uiPriority w:val="99"/>
    <w:rPr>
      <w:b/>
      <w:bCs/>
      <w:color w:val="000080"/>
      <w:sz w:val="20"/>
      <w:szCs w:val="20"/>
    </w:rPr>
  </w:style>
  <w:style w:type="paragraph" w:customStyle="1" w:styleId="31">
    <w:name w:val="Стиль3"/>
    <w:basedOn w:val="24"/>
    <w:qFormat/>
    <w:pPr>
      <w:widowControl w:val="0"/>
      <w:tabs>
        <w:tab w:val="num" w:pos="1127"/>
      </w:tabs>
      <w:adjustRightInd w:val="0"/>
      <w:spacing w:after="0" w:line="240" w:lineRule="auto"/>
      <w:ind w:left="900"/>
      <w:jc w:val="both"/>
    </w:pPr>
    <w:rPr>
      <w:szCs w:val="20"/>
    </w:rPr>
  </w:style>
  <w:style w:type="paragraph" w:styleId="24">
    <w:name w:val="Body Text Indent 2"/>
    <w:basedOn w:val="a"/>
    <w:link w:val="25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character" w:customStyle="1" w:styleId="afb">
    <w:name w:val="Без интервала Знак"/>
    <w:link w:val="afa"/>
    <w:uiPriority w:val="1"/>
    <w:rPr>
      <w:rFonts w:ascii="Calibri" w:eastAsia="Calibri" w:hAnsi="Calibri" w:cs="Times New Roman"/>
    </w:rPr>
  </w:style>
  <w:style w:type="paragraph" w:customStyle="1" w:styleId="Style3">
    <w:name w:val="Style3"/>
    <w:basedOn w:val="a"/>
    <w:uiPriority w:val="99"/>
    <w:pPr>
      <w:widowControl w:val="0"/>
      <w:autoSpaceDE w:val="0"/>
      <w:autoSpaceDN w:val="0"/>
      <w:adjustRightInd w:val="0"/>
      <w:spacing w:line="398" w:lineRule="exact"/>
      <w:jc w:val="center"/>
    </w:pPr>
    <w:rPr>
      <w:rFonts w:ascii="Lucida Sans Unicode" w:hAnsi="Lucida Sans Unicode"/>
    </w:rPr>
  </w:style>
  <w:style w:type="paragraph" w:customStyle="1" w:styleId="Style4">
    <w:name w:val="Style4"/>
    <w:basedOn w:val="a"/>
    <w:uiPriority w:val="99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paragraph" w:customStyle="1" w:styleId="Style5">
    <w:name w:val="Style5"/>
    <w:basedOn w:val="a"/>
    <w:uiPriority w:val="99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paragraph" w:customStyle="1" w:styleId="Style6">
    <w:name w:val="Style6"/>
    <w:basedOn w:val="a"/>
    <w:uiPriority w:val="99"/>
    <w:pPr>
      <w:widowControl w:val="0"/>
      <w:autoSpaceDE w:val="0"/>
      <w:autoSpaceDN w:val="0"/>
      <w:adjustRightInd w:val="0"/>
      <w:spacing w:line="220" w:lineRule="exact"/>
      <w:ind w:firstLine="229"/>
    </w:pPr>
    <w:rPr>
      <w:rFonts w:ascii="Lucida Sans Unicode" w:hAnsi="Lucida Sans Unicode"/>
    </w:rPr>
  </w:style>
  <w:style w:type="paragraph" w:customStyle="1" w:styleId="Style7">
    <w:name w:val="Style7"/>
    <w:basedOn w:val="a"/>
    <w:uiPriority w:val="99"/>
    <w:pPr>
      <w:widowControl w:val="0"/>
      <w:autoSpaceDE w:val="0"/>
      <w:autoSpaceDN w:val="0"/>
      <w:adjustRightInd w:val="0"/>
      <w:spacing w:line="224" w:lineRule="exact"/>
      <w:ind w:firstLine="229"/>
      <w:jc w:val="both"/>
    </w:pPr>
    <w:rPr>
      <w:rFonts w:ascii="Lucida Sans Unicode" w:hAnsi="Lucida Sans Unicode"/>
    </w:rPr>
  </w:style>
  <w:style w:type="paragraph" w:customStyle="1" w:styleId="Style9">
    <w:name w:val="Style9"/>
    <w:basedOn w:val="a"/>
    <w:uiPriority w:val="99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14">
    <w:name w:val="Font Style14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">
    <w:name w:val="Font Style15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i/>
      <w:iCs/>
      <w:sz w:val="14"/>
      <w:szCs w:val="14"/>
    </w:rPr>
  </w:style>
  <w:style w:type="character" w:customStyle="1" w:styleId="iceouttxt">
    <w:name w:val="iceouttxt"/>
    <w:basedOn w:val="a0"/>
  </w:style>
  <w:style w:type="paragraph" w:styleId="afe">
    <w:name w:val="Body Text Indent"/>
    <w:basedOn w:val="a"/>
    <w:link w:val="aff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0"/>
      <w:szCs w:val="20"/>
    </w:rPr>
  </w:style>
  <w:style w:type="character" w:customStyle="1" w:styleId="aff">
    <w:name w:val="Основной текст с отступом Знак"/>
    <w:basedOn w:val="a0"/>
    <w:link w:val="af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0">
    <w:name w:val="Знак Знак Знак Знак"/>
    <w:basedOn w:val="a"/>
    <w:uiPriority w:val="99"/>
    <w:semiHidden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paragraph" w:styleId="aff1">
    <w:name w:val="Plain Text"/>
    <w:basedOn w:val="a"/>
    <w:link w:val="aff2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topleveltext">
    <w:name w:val="formattext topleveltext"/>
    <w:basedOn w:val="a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pPr>
      <w:spacing w:before="100" w:beforeAutospacing="1" w:after="100" w:afterAutospacing="1"/>
    </w:pPr>
  </w:style>
  <w:style w:type="paragraph" w:customStyle="1" w:styleId="unformattexttopleveltext">
    <w:name w:val="unformattext topleveltext"/>
    <w:basedOn w:val="a"/>
    <w:pPr>
      <w:spacing w:before="100" w:beforeAutospacing="1" w:after="100" w:afterAutospacing="1"/>
    </w:p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paragraph" w:customStyle="1" w:styleId="aff3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4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semiHidden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21">
    <w:name w:val="Знак2 Знак Знак Знак1 Знак Знак 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3">
    <w:name w:val="Заголовок статьи"/>
    <w:basedOn w:val="a"/>
    <w:next w:val="a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4">
    <w:name w:val="Комментарий"/>
    <w:basedOn w:val="a"/>
    <w:next w:val="a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table" w:styleId="a5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Таблицы (моноширинный)"/>
    <w:basedOn w:val="a"/>
    <w:next w:val="a"/>
    <w:uiPriority w:val="99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semiHidden/>
    <w:rPr>
      <w:vertAlign w:val="superscript"/>
    </w:rPr>
  </w:style>
  <w:style w:type="paragraph" w:customStyle="1" w:styleId="aa">
    <w:name w:val="Основное меню"/>
    <w:basedOn w:val="a"/>
    <w:next w:val="a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character" w:customStyle="1" w:styleId="ab">
    <w:name w:val="Гипертекстовая ссылка"/>
    <w:uiPriority w:val="99"/>
    <w:rPr>
      <w:color w:val="008000"/>
      <w:sz w:val="20"/>
      <w:szCs w:val="20"/>
      <w:u w:val="single"/>
    </w:rPr>
  </w:style>
  <w:style w:type="paragraph" w:customStyle="1" w:styleId="Heading">
    <w:name w:val="Heading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footer"/>
    <w:basedOn w:val="a"/>
    <w:link w:val="a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2">
    <w:name w:val="Body Text 2"/>
    <w:basedOn w:val="a"/>
    <w:link w:val="23"/>
    <w:pPr>
      <w:widowControl w:val="0"/>
      <w:autoSpaceDE w:val="0"/>
      <w:autoSpaceDN w:val="0"/>
      <w:adjustRightInd w:val="0"/>
      <w:spacing w:after="120" w:line="480" w:lineRule="auto"/>
    </w:pPr>
    <w:rPr>
      <w:rFonts w:ascii="Arial" w:hAnsi="Arial" w:cs="Arial"/>
      <w:sz w:val="18"/>
      <w:szCs w:val="18"/>
    </w:rPr>
  </w:style>
  <w:style w:type="character" w:customStyle="1" w:styleId="23">
    <w:name w:val="Основной текст 2 Знак"/>
    <w:basedOn w:val="a0"/>
    <w:link w:val="22"/>
    <w:rPr>
      <w:rFonts w:ascii="Arial" w:eastAsia="Times New Roman" w:hAnsi="Arial" w:cs="Arial"/>
      <w:sz w:val="18"/>
      <w:szCs w:val="18"/>
      <w:lang w:eastAsia="ru-RU"/>
    </w:rPr>
  </w:style>
  <w:style w:type="paragraph" w:customStyle="1" w:styleId="ConsPlusNormal">
    <w:name w:val="ConsPlusNormal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page number"/>
    <w:basedOn w:val="a0"/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Title"/>
    <w:basedOn w:val="a"/>
    <w:link w:val="af2"/>
    <w:qFormat/>
    <w:pPr>
      <w:jc w:val="center"/>
    </w:pPr>
    <w:rPr>
      <w:rFonts w:ascii="Arial" w:hAnsi="Arial" w:cs="Arial"/>
      <w:sz w:val="28"/>
      <w:szCs w:val="28"/>
    </w:rPr>
  </w:style>
  <w:style w:type="character" w:customStyle="1" w:styleId="af2">
    <w:name w:val="Название Знак"/>
    <w:basedOn w:val="a0"/>
    <w:link w:val="af1"/>
    <w:rPr>
      <w:rFonts w:ascii="Arial" w:eastAsia="Times New Roman" w:hAnsi="Arial" w:cs="Arial"/>
      <w:sz w:val="28"/>
      <w:szCs w:val="28"/>
      <w:lang w:eastAsia="ru-RU"/>
    </w:rPr>
  </w:style>
  <w:style w:type="paragraph" w:styleId="af3">
    <w:name w:val="Balloon Text"/>
    <w:basedOn w:val="a"/>
    <w:link w:val="af4"/>
    <w:semiHidden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Pr>
      <w:rFonts w:ascii="Tahoma" w:eastAsia="Times New Roman" w:hAnsi="Tahoma" w:cs="Tahoma"/>
      <w:sz w:val="16"/>
      <w:szCs w:val="16"/>
      <w:lang w:eastAsia="ru-RU"/>
    </w:rPr>
  </w:style>
  <w:style w:type="character" w:styleId="af5">
    <w:name w:val="Hyperlink"/>
    <w:rPr>
      <w:color w:val="0000FF"/>
      <w:u w:val="single"/>
    </w:rPr>
  </w:style>
  <w:style w:type="character" w:styleId="af6">
    <w:name w:val="FollowedHyperlink"/>
    <w:rPr>
      <w:color w:val="800080"/>
      <w:u w:val="single"/>
    </w:rPr>
  </w:style>
  <w:style w:type="paragraph" w:styleId="af7">
    <w:name w:val="Body Text"/>
    <w:basedOn w:val="a"/>
    <w:link w:val="af8"/>
    <w:pPr>
      <w:spacing w:after="120"/>
    </w:pPr>
    <w:rPr>
      <w:lang w:val="x-none" w:eastAsia="x-none"/>
    </w:rPr>
  </w:style>
  <w:style w:type="character" w:customStyle="1" w:styleId="af8">
    <w:name w:val="Основной текст Знак"/>
    <w:basedOn w:val="a0"/>
    <w:link w:val="a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9">
    <w:name w:val="line number"/>
    <w:basedOn w:val="a0"/>
  </w:style>
  <w:style w:type="paragraph" w:styleId="afa">
    <w:name w:val="No Spacing"/>
    <w:link w:val="afb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c">
    <w:name w:val="Цветовое выделение"/>
    <w:uiPriority w:val="99"/>
    <w:rPr>
      <w:b/>
      <w:bCs/>
      <w:color w:val="000080"/>
      <w:sz w:val="20"/>
      <w:szCs w:val="20"/>
    </w:rPr>
  </w:style>
  <w:style w:type="paragraph" w:customStyle="1" w:styleId="31">
    <w:name w:val="Стиль3"/>
    <w:basedOn w:val="24"/>
    <w:qFormat/>
    <w:pPr>
      <w:widowControl w:val="0"/>
      <w:tabs>
        <w:tab w:val="num" w:pos="1127"/>
      </w:tabs>
      <w:adjustRightInd w:val="0"/>
      <w:spacing w:after="0" w:line="240" w:lineRule="auto"/>
      <w:ind w:left="900"/>
      <w:jc w:val="both"/>
    </w:pPr>
    <w:rPr>
      <w:szCs w:val="20"/>
    </w:rPr>
  </w:style>
  <w:style w:type="paragraph" w:styleId="24">
    <w:name w:val="Body Text Indent 2"/>
    <w:basedOn w:val="a"/>
    <w:link w:val="25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character" w:customStyle="1" w:styleId="afb">
    <w:name w:val="Без интервала Знак"/>
    <w:link w:val="afa"/>
    <w:uiPriority w:val="1"/>
    <w:rPr>
      <w:rFonts w:ascii="Calibri" w:eastAsia="Calibri" w:hAnsi="Calibri" w:cs="Times New Roman"/>
    </w:rPr>
  </w:style>
  <w:style w:type="paragraph" w:customStyle="1" w:styleId="Style3">
    <w:name w:val="Style3"/>
    <w:basedOn w:val="a"/>
    <w:uiPriority w:val="99"/>
    <w:pPr>
      <w:widowControl w:val="0"/>
      <w:autoSpaceDE w:val="0"/>
      <w:autoSpaceDN w:val="0"/>
      <w:adjustRightInd w:val="0"/>
      <w:spacing w:line="398" w:lineRule="exact"/>
      <w:jc w:val="center"/>
    </w:pPr>
    <w:rPr>
      <w:rFonts w:ascii="Lucida Sans Unicode" w:hAnsi="Lucida Sans Unicode"/>
    </w:rPr>
  </w:style>
  <w:style w:type="paragraph" w:customStyle="1" w:styleId="Style4">
    <w:name w:val="Style4"/>
    <w:basedOn w:val="a"/>
    <w:uiPriority w:val="99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paragraph" w:customStyle="1" w:styleId="Style5">
    <w:name w:val="Style5"/>
    <w:basedOn w:val="a"/>
    <w:uiPriority w:val="99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paragraph" w:customStyle="1" w:styleId="Style6">
    <w:name w:val="Style6"/>
    <w:basedOn w:val="a"/>
    <w:uiPriority w:val="99"/>
    <w:pPr>
      <w:widowControl w:val="0"/>
      <w:autoSpaceDE w:val="0"/>
      <w:autoSpaceDN w:val="0"/>
      <w:adjustRightInd w:val="0"/>
      <w:spacing w:line="220" w:lineRule="exact"/>
      <w:ind w:firstLine="229"/>
    </w:pPr>
    <w:rPr>
      <w:rFonts w:ascii="Lucida Sans Unicode" w:hAnsi="Lucida Sans Unicode"/>
    </w:rPr>
  </w:style>
  <w:style w:type="paragraph" w:customStyle="1" w:styleId="Style7">
    <w:name w:val="Style7"/>
    <w:basedOn w:val="a"/>
    <w:uiPriority w:val="99"/>
    <w:pPr>
      <w:widowControl w:val="0"/>
      <w:autoSpaceDE w:val="0"/>
      <w:autoSpaceDN w:val="0"/>
      <w:adjustRightInd w:val="0"/>
      <w:spacing w:line="224" w:lineRule="exact"/>
      <w:ind w:firstLine="229"/>
      <w:jc w:val="both"/>
    </w:pPr>
    <w:rPr>
      <w:rFonts w:ascii="Lucida Sans Unicode" w:hAnsi="Lucida Sans Unicode"/>
    </w:rPr>
  </w:style>
  <w:style w:type="paragraph" w:customStyle="1" w:styleId="Style9">
    <w:name w:val="Style9"/>
    <w:basedOn w:val="a"/>
    <w:uiPriority w:val="99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14">
    <w:name w:val="Font Style14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">
    <w:name w:val="Font Style15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i/>
      <w:iCs/>
      <w:sz w:val="14"/>
      <w:szCs w:val="14"/>
    </w:rPr>
  </w:style>
  <w:style w:type="character" w:customStyle="1" w:styleId="iceouttxt">
    <w:name w:val="iceouttxt"/>
    <w:basedOn w:val="a0"/>
  </w:style>
  <w:style w:type="paragraph" w:styleId="afe">
    <w:name w:val="Body Text Indent"/>
    <w:basedOn w:val="a"/>
    <w:link w:val="aff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0"/>
      <w:szCs w:val="20"/>
    </w:rPr>
  </w:style>
  <w:style w:type="character" w:customStyle="1" w:styleId="aff">
    <w:name w:val="Основной текст с отступом Знак"/>
    <w:basedOn w:val="a0"/>
    <w:link w:val="af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0">
    <w:name w:val="Знак Знак Знак Знак"/>
    <w:basedOn w:val="a"/>
    <w:uiPriority w:val="99"/>
    <w:semiHidden/>
    <w:pPr>
      <w:spacing w:after="160" w:line="240" w:lineRule="exact"/>
    </w:pPr>
    <w:rPr>
      <w:rFonts w:ascii="Verdana" w:hAnsi="Verdana" w:cs="Verdana"/>
      <w:sz w:val="20"/>
      <w:szCs w:val="20"/>
      <w:lang w:val="en-GB" w:eastAsia="en-US"/>
    </w:rPr>
  </w:style>
  <w:style w:type="paragraph" w:styleId="aff1">
    <w:name w:val="Plain Text"/>
    <w:basedOn w:val="a"/>
    <w:link w:val="aff2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topleveltext">
    <w:name w:val="formattext topleveltext"/>
    <w:basedOn w:val="a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pPr>
      <w:spacing w:before="100" w:beforeAutospacing="1" w:after="100" w:afterAutospacing="1"/>
    </w:pPr>
  </w:style>
  <w:style w:type="paragraph" w:customStyle="1" w:styleId="unformattexttopleveltext">
    <w:name w:val="unformattext topleveltext"/>
    <w:basedOn w:val="a"/>
    <w:pPr>
      <w:spacing w:before="100" w:beforeAutospacing="1" w:after="100" w:afterAutospacing="1"/>
    </w:p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paragraph" w:customStyle="1" w:styleId="aff3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4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docs.cntd.ru/document/901876063" TargetMode="External"/><Relationship Id="rId26" Type="http://schemas.openxmlformats.org/officeDocument/2006/relationships/hyperlink" Target="http://docs.cntd.ru/document/901807667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docs.cntd.ru/document/902192509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docs.cntd.ru/document/901807667" TargetMode="External"/><Relationship Id="rId25" Type="http://schemas.openxmlformats.org/officeDocument/2006/relationships/hyperlink" Target="http://docs.cntd.ru/document/901807667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://www.almetyevsk.tatar.ru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docs.cntd.ru/document/917052328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hyperlink" Target="garantF1://8031303.100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://docs.cntd.ru/document/901807667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jpeg"/><Relationship Id="rId10" Type="http://schemas.openxmlformats.org/officeDocument/2006/relationships/hyperlink" Target="http://www.almetyevsk.tatar.ru" TargetMode="External"/><Relationship Id="rId19" Type="http://schemas.openxmlformats.org/officeDocument/2006/relationships/hyperlink" Target="http://docs.cntd.ru/document/902192509" TargetMode="External"/><Relationship Id="rId31" Type="http://schemas.openxmlformats.org/officeDocument/2006/relationships/image" Target="media/image4.jpeg"/><Relationship Id="rId44" Type="http://schemas.openxmlformats.org/officeDocument/2006/relationships/hyperlink" Target="garantF1://34476293.10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lmetyevsk.tatar.ru" TargetMode="External"/><Relationship Id="rId14" Type="http://schemas.openxmlformats.org/officeDocument/2006/relationships/footer" Target="footer2.xml"/><Relationship Id="rId22" Type="http://schemas.openxmlformats.org/officeDocument/2006/relationships/hyperlink" Target="http://docs.cntd.ru/document/9027690" TargetMode="External"/><Relationship Id="rId27" Type="http://schemas.openxmlformats.org/officeDocument/2006/relationships/hyperlink" Target="http://docs.cntd.ru/document/901807667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5A6FA-D6A9-4500-952F-70E1CE4D0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5330</Words>
  <Characters>30386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ПЗИО</Company>
  <LinksUpToDate>false</LinksUpToDate>
  <CharactersWithSpaces>35645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admin</cp:lastModifiedBy>
  <cp:revision>4</cp:revision>
  <cp:lastPrinted>2016-05-13T12:01:00Z</cp:lastPrinted>
  <dcterms:created xsi:type="dcterms:W3CDTF">2019-11-11T12:26:00Z</dcterms:created>
  <dcterms:modified xsi:type="dcterms:W3CDTF">2019-11-11T13:03:00Z</dcterms:modified>
</cp:coreProperties>
</file>